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40" w:lineRule="exact"/>
        <w:jc w:val="center"/>
        <w:rPr>
          <w:rFonts w:hint="default"/>
          <w:sz w:val="21"/>
        </w:rPr>
      </w:pPr>
      <w:r>
        <w:rPr>
          <w:rFonts w:hint="eastAsia"/>
          <w:sz w:val="21"/>
        </w:rPr>
        <w:t>一般会計等財務書類に係る注記</w:t>
      </w:r>
    </w:p>
    <w:p>
      <w:pPr>
        <w:pStyle w:val="15"/>
        <w:spacing w:line="340" w:lineRule="exact"/>
        <w:rPr>
          <w:rFonts w:hint="default"/>
          <w:sz w:val="21"/>
        </w:rPr>
      </w:pPr>
    </w:p>
    <w:p>
      <w:pPr>
        <w:pStyle w:val="15"/>
        <w:spacing w:line="340" w:lineRule="exact"/>
        <w:rPr>
          <w:rFonts w:hint="default"/>
          <w:sz w:val="21"/>
        </w:rPr>
      </w:pPr>
      <w:r>
        <w:rPr>
          <w:rFonts w:hint="eastAsia"/>
          <w:sz w:val="21"/>
        </w:rPr>
        <w:t>１．重要な会計方針</w:t>
      </w:r>
    </w:p>
    <w:p>
      <w:pPr>
        <w:pStyle w:val="15"/>
        <w:spacing w:line="340" w:lineRule="exact"/>
        <w:rPr>
          <w:rFonts w:hint="default"/>
          <w:sz w:val="21"/>
        </w:rPr>
      </w:pPr>
      <w:r>
        <w:rPr>
          <w:rFonts w:hint="eastAsia"/>
          <w:sz w:val="21"/>
        </w:rPr>
        <w:t>（１）</w:t>
      </w:r>
      <w:r>
        <w:rPr>
          <w:rFonts w:hint="default"/>
          <w:sz w:val="21"/>
        </w:rPr>
        <w:t xml:space="preserve"> </w:t>
      </w:r>
      <w:r>
        <w:rPr>
          <w:rFonts w:hint="eastAsia"/>
          <w:sz w:val="21"/>
        </w:rPr>
        <w:t>有形固定資産等の評価基準及び評価方法</w:t>
      </w:r>
    </w:p>
    <w:p>
      <w:pPr>
        <w:pStyle w:val="15"/>
        <w:spacing w:line="340" w:lineRule="exact"/>
        <w:ind w:firstLine="210" w:firstLineChars="100"/>
        <w:rPr>
          <w:rFonts w:hint="default"/>
          <w:sz w:val="21"/>
        </w:rPr>
      </w:pPr>
      <w:r>
        <w:rPr>
          <w:rFonts w:hint="eastAsia"/>
          <w:sz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（２）</w:t>
      </w:r>
      <w:r>
        <w:rPr>
          <w:rFonts w:hint="default"/>
          <w:sz w:val="21"/>
        </w:rPr>
        <w:t xml:space="preserve"> </w:t>
      </w:r>
      <w:r>
        <w:rPr>
          <w:rFonts w:hint="eastAsia"/>
          <w:sz w:val="21"/>
        </w:rPr>
        <w:t>有価証券等の評価基準及び評価方法</w:t>
      </w:r>
    </w:p>
    <w:p>
      <w:pPr>
        <w:pStyle w:val="15"/>
        <w:spacing w:line="340" w:lineRule="exact"/>
        <w:ind w:firstLine="210" w:firstLineChars="100"/>
        <w:rPr>
          <w:rFonts w:hint="default"/>
          <w:sz w:val="21"/>
        </w:rPr>
      </w:pPr>
      <w:r>
        <w:rPr>
          <w:rFonts w:hint="eastAsia"/>
          <w:sz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hint="default" w:ascii="Century" w:hAnsi="Century"/>
          <w:sz w:val="21"/>
        </w:rPr>
        <w:t>30%</w:t>
      </w:r>
      <w:r>
        <w:rPr>
          <w:rFonts w:hint="eastAsia"/>
          <w:sz w:val="21"/>
        </w:rPr>
        <w:t>以上である場合には、「著しく低下したとき」に該当するものとしております。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（３）</w:t>
      </w:r>
      <w:r>
        <w:rPr>
          <w:rFonts w:hint="default"/>
          <w:sz w:val="21"/>
        </w:rPr>
        <w:t xml:space="preserve"> </w:t>
      </w:r>
      <w:r>
        <w:rPr>
          <w:rFonts w:hint="eastAsia"/>
          <w:sz w:val="21"/>
        </w:rPr>
        <w:t>有形固定資産等の減価償却の方法</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有形固定資産（事業用資産、インフラ資産）</w:t>
      </w:r>
    </w:p>
    <w:p>
      <w:pPr>
        <w:pStyle w:val="15"/>
        <w:spacing w:line="340" w:lineRule="exact"/>
        <w:ind w:firstLine="210" w:firstLineChars="100"/>
        <w:rPr>
          <w:rFonts w:hint="default"/>
          <w:sz w:val="21"/>
        </w:rPr>
      </w:pPr>
      <w:r>
        <w:rPr>
          <w:rFonts w:hint="eastAsia"/>
          <w:sz w:val="21"/>
        </w:rPr>
        <w:t>定額法を採用しております。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無形固定資産</w:t>
      </w:r>
    </w:p>
    <w:p>
      <w:pPr>
        <w:pStyle w:val="15"/>
        <w:spacing w:line="340" w:lineRule="exact"/>
        <w:ind w:firstLine="210" w:firstLineChars="100"/>
        <w:rPr>
          <w:rFonts w:hint="default"/>
          <w:sz w:val="21"/>
        </w:rPr>
      </w:pPr>
      <w:r>
        <w:rPr>
          <w:rFonts w:hint="eastAsia"/>
          <w:sz w:val="21"/>
        </w:rPr>
        <w:t>定額法を採用しております。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引当金の計上基準及び算定方法</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徴収不能引当金</w:t>
      </w:r>
    </w:p>
    <w:p>
      <w:pPr>
        <w:pStyle w:val="15"/>
        <w:spacing w:line="340" w:lineRule="exact"/>
        <w:ind w:firstLine="210" w:firstLineChars="100"/>
        <w:rPr>
          <w:rFonts w:hint="default"/>
          <w:sz w:val="21"/>
        </w:rPr>
      </w:pPr>
      <w:r>
        <w:rPr>
          <w:rFonts w:hint="eastAsia"/>
          <w:sz w:val="21"/>
        </w:rPr>
        <w:t>過去</w:t>
      </w:r>
      <w:r>
        <w:rPr>
          <w:rFonts w:hint="default" w:ascii="Century" w:hAnsi="Century"/>
          <w:sz w:val="21"/>
        </w:rPr>
        <w:t>5</w:t>
      </w:r>
      <w:r>
        <w:rPr>
          <w:rFonts w:hint="eastAsia"/>
          <w:sz w:val="21"/>
        </w:rPr>
        <w:t>年間の平均不納欠損率により計上しております。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賞与引当金</w:t>
      </w:r>
    </w:p>
    <w:p>
      <w:pPr>
        <w:pStyle w:val="15"/>
        <w:spacing w:line="340" w:lineRule="exact"/>
        <w:ind w:firstLine="210" w:firstLineChars="100"/>
        <w:rPr>
          <w:rFonts w:hint="default"/>
          <w:sz w:val="21"/>
        </w:rPr>
      </w:pPr>
      <w:r>
        <w:rPr>
          <w:rFonts w:hint="eastAsia"/>
          <w:sz w:val="21"/>
        </w:rPr>
        <w:t>翌年度</w:t>
      </w:r>
      <w:r>
        <w:rPr>
          <w:rFonts w:hint="default" w:ascii="Century" w:hAnsi="Century"/>
          <w:sz w:val="21"/>
        </w:rPr>
        <w:t>6</w:t>
      </w:r>
      <w:r>
        <w:rPr>
          <w:rFonts w:hint="eastAsia"/>
          <w:sz w:val="21"/>
        </w:rPr>
        <w:t>月支給予定の期末・勤勉手当のうち、全支給対象期間に対する本年度の支給対象期間の割合（</w:t>
      </w:r>
      <w:r>
        <w:rPr>
          <w:rFonts w:hint="default" w:ascii="Century" w:hAnsi="Century"/>
          <w:sz w:val="21"/>
        </w:rPr>
        <w:t>4/6</w:t>
      </w:r>
      <w:r>
        <w:rPr>
          <w:rFonts w:hint="eastAsia"/>
          <w:sz w:val="21"/>
        </w:rPr>
        <w:t>か月）を乗じた額を計上しております。</w:t>
      </w:r>
    </w:p>
    <w:p>
      <w:pPr>
        <w:pStyle w:val="15"/>
        <w:spacing w:line="340" w:lineRule="exact"/>
        <w:rPr>
          <w:rFonts w:hint="default"/>
          <w:sz w:val="21"/>
        </w:rPr>
      </w:pPr>
      <w:r>
        <w:rPr>
          <w:rFonts w:hint="eastAsia"/>
          <w:sz w:val="21"/>
        </w:rPr>
        <w:t>③</w:t>
      </w:r>
      <w:r>
        <w:rPr>
          <w:rFonts w:hint="default"/>
          <w:sz w:val="21"/>
        </w:rPr>
        <w:t xml:space="preserve"> </w:t>
      </w:r>
      <w:r>
        <w:rPr>
          <w:rFonts w:hint="eastAsia"/>
          <w:sz w:val="21"/>
        </w:rPr>
        <w:t>退職給付引当金</w:t>
      </w:r>
    </w:p>
    <w:p>
      <w:pPr>
        <w:pStyle w:val="15"/>
        <w:spacing w:line="340" w:lineRule="exact"/>
        <w:ind w:firstLine="210" w:firstLineChars="100"/>
        <w:rPr>
          <w:rFonts w:hint="default"/>
          <w:sz w:val="21"/>
        </w:rPr>
      </w:pPr>
      <w:r>
        <w:rPr>
          <w:rFonts w:hint="eastAsia"/>
          <w:sz w:val="21"/>
        </w:rPr>
        <w:t>地方公共団体財政健全化法における退職手当支給額に係る負担見込額算定方法に従っております。</w:t>
      </w:r>
    </w:p>
    <w:p>
      <w:pPr>
        <w:pStyle w:val="15"/>
        <w:spacing w:line="340" w:lineRule="exact"/>
        <w:ind w:firstLine="210" w:firstLineChars="100"/>
        <w:rPr>
          <w:rFonts w:hint="default"/>
          <w:sz w:val="21"/>
        </w:rPr>
      </w:pPr>
      <w:r>
        <w:rPr>
          <w:rFonts w:hint="eastAsia"/>
          <w:sz w:val="21"/>
        </w:rPr>
        <w:t>また、当期繰入額がマイナスとなった場合は、経常収益その他へ振り替えております。</w:t>
      </w:r>
    </w:p>
    <w:p>
      <w:pPr>
        <w:pStyle w:val="15"/>
        <w:spacing w:line="340" w:lineRule="exact"/>
        <w:rPr>
          <w:rFonts w:hint="default"/>
          <w:sz w:val="21"/>
        </w:rPr>
      </w:pPr>
      <w:r>
        <w:rPr>
          <w:rFonts w:hint="eastAsia"/>
          <w:sz w:val="21"/>
        </w:rPr>
        <w:t>④</w:t>
      </w:r>
      <w:r>
        <w:rPr>
          <w:rFonts w:hint="default"/>
          <w:sz w:val="21"/>
        </w:rPr>
        <w:t xml:space="preserve"> </w:t>
      </w:r>
      <w:r>
        <w:rPr>
          <w:rFonts w:hint="eastAsia"/>
          <w:sz w:val="21"/>
        </w:rPr>
        <w:t>損失補償引当金</w:t>
      </w:r>
    </w:p>
    <w:p>
      <w:pPr>
        <w:pStyle w:val="15"/>
        <w:spacing w:line="340" w:lineRule="exact"/>
        <w:ind w:firstLine="210" w:firstLineChars="100"/>
        <w:rPr>
          <w:rFonts w:hint="default"/>
          <w:sz w:val="21"/>
        </w:rPr>
      </w:pPr>
      <w:r>
        <w:rPr>
          <w:rFonts w:hint="eastAsia"/>
          <w:sz w:val="21"/>
        </w:rPr>
        <w:t>地方公共団体財政健全化法における損失補償債務等に係る一般会計等負担見込額算定方法に従っております。</w:t>
      </w:r>
    </w:p>
    <w:p>
      <w:pPr>
        <w:pStyle w:val="15"/>
        <w:spacing w:line="340" w:lineRule="exact"/>
        <w:ind w:firstLine="210" w:firstLineChars="100"/>
        <w:rPr>
          <w:rFonts w:hint="default"/>
          <w:sz w:val="21"/>
        </w:rPr>
      </w:pPr>
      <w:r>
        <w:rPr>
          <w:rFonts w:hint="eastAsia"/>
          <w:sz w:val="21"/>
        </w:rPr>
        <w:t>また、当期繰入額がマイナスとなった場合は、臨時利益へ振り替えております。</w:t>
      </w:r>
    </w:p>
    <w:p>
      <w:pPr>
        <w:pStyle w:val="15"/>
        <w:spacing w:line="340" w:lineRule="exact"/>
        <w:ind w:firstLine="210" w:firstLineChars="100"/>
        <w:rPr>
          <w:rFonts w:hint="default"/>
          <w:sz w:val="21"/>
        </w:rPr>
      </w:pPr>
    </w:p>
    <w:p>
      <w:pPr>
        <w:pStyle w:val="15"/>
        <w:spacing w:line="340" w:lineRule="exact"/>
        <w:ind w:firstLine="210" w:firstLineChars="100"/>
        <w:rPr>
          <w:rFonts w:hint="default"/>
          <w:sz w:val="21"/>
        </w:rPr>
      </w:pPr>
    </w:p>
    <w:p>
      <w:pPr>
        <w:pStyle w:val="15"/>
        <w:spacing w:line="340" w:lineRule="exact"/>
        <w:rPr>
          <w:rFonts w:hint="default"/>
          <w:sz w:val="21"/>
        </w:rPr>
      </w:pPr>
      <w:r>
        <w:rPr>
          <w:rFonts w:hint="eastAsia"/>
          <w:sz w:val="21"/>
        </w:rPr>
        <w:t>（５）</w:t>
      </w:r>
      <w:r>
        <w:rPr>
          <w:rFonts w:hint="default"/>
          <w:sz w:val="21"/>
        </w:rPr>
        <w:t xml:space="preserve"> </w:t>
      </w:r>
      <w:r>
        <w:rPr>
          <w:rFonts w:hint="eastAsia"/>
          <w:sz w:val="21"/>
        </w:rPr>
        <w:t>リース取引の処理方法</w:t>
      </w:r>
    </w:p>
    <w:p>
      <w:pPr>
        <w:pStyle w:val="15"/>
        <w:spacing w:line="340" w:lineRule="exact"/>
        <w:ind w:firstLine="210" w:firstLineChars="100"/>
        <w:rPr>
          <w:rFonts w:hint="default"/>
          <w:sz w:val="21"/>
        </w:rPr>
      </w:pPr>
      <w:r>
        <w:rPr>
          <w:rFonts w:hint="eastAsia"/>
          <w:sz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（６）</w:t>
      </w:r>
      <w:r>
        <w:rPr>
          <w:rFonts w:hint="default"/>
          <w:sz w:val="21"/>
        </w:rPr>
        <w:t xml:space="preserve"> </w:t>
      </w:r>
      <w:r>
        <w:rPr>
          <w:rFonts w:hint="eastAsia"/>
          <w:sz w:val="21"/>
        </w:rPr>
        <w:t>資金収支計算書における資金の範囲</w:t>
      </w:r>
    </w:p>
    <w:p>
      <w:pPr>
        <w:pStyle w:val="15"/>
        <w:spacing w:line="340" w:lineRule="exact"/>
        <w:ind w:firstLine="210" w:firstLineChars="100"/>
        <w:rPr>
          <w:rFonts w:hint="default"/>
          <w:sz w:val="21"/>
        </w:rPr>
      </w:pPr>
      <w:r>
        <w:rPr>
          <w:rFonts w:hint="eastAsia"/>
          <w:sz w:val="21"/>
        </w:rPr>
        <w:t>現金（手許現金及び要求払預金）及び現金同等物（</w:t>
      </w:r>
      <w:r>
        <w:rPr>
          <w:rFonts w:hint="default" w:ascii="Century" w:hAnsi="Century"/>
          <w:sz w:val="21"/>
        </w:rPr>
        <w:t>3</w:t>
      </w:r>
      <w:r>
        <w:rPr>
          <w:rFonts w:hint="eastAsia"/>
          <w:sz w:val="21"/>
        </w:rPr>
        <w:t>ヶ月以内の短期投資等）を資金の範囲としております。このうち現金同等物は、短期投資の他、出納整理期間中の取引により発生する資金の受払いも含んでおります。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（７）</w:t>
      </w:r>
      <w:r>
        <w:rPr>
          <w:rFonts w:hint="default"/>
          <w:sz w:val="21"/>
        </w:rPr>
        <w:t xml:space="preserve"> </w:t>
      </w:r>
      <w:r>
        <w:rPr>
          <w:rFonts w:hint="eastAsia"/>
          <w:sz w:val="21"/>
        </w:rPr>
        <w:t>その他財務書類作成のための基本となる重要な事項</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消費税等の会計処理</w:t>
      </w:r>
    </w:p>
    <w:p>
      <w:pPr>
        <w:pStyle w:val="15"/>
        <w:spacing w:line="340" w:lineRule="exact"/>
        <w:ind w:firstLine="210" w:firstLineChars="100"/>
        <w:rPr>
          <w:rFonts w:hint="default"/>
          <w:sz w:val="21"/>
        </w:rPr>
      </w:pPr>
      <w:r>
        <w:rPr>
          <w:rFonts w:hint="eastAsia"/>
          <w:sz w:val="21"/>
        </w:rPr>
        <w:t>税込方式によっております。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物品及びソフトウェアの計上基準</w:t>
      </w:r>
    </w:p>
    <w:p>
      <w:pPr>
        <w:pStyle w:val="15"/>
        <w:spacing w:line="340" w:lineRule="exact"/>
        <w:ind w:firstLine="210" w:firstLineChars="100"/>
        <w:rPr>
          <w:rFonts w:hint="default"/>
          <w:sz w:val="21"/>
        </w:rPr>
      </w:pPr>
      <w:r>
        <w:rPr>
          <w:rFonts w:hint="eastAsia"/>
          <w:sz w:val="21"/>
        </w:rPr>
        <w:t>物品については、取得価額又は見積価格が</w:t>
      </w:r>
      <w:r>
        <w:rPr>
          <w:rFonts w:hint="default" w:ascii="Century" w:hAnsi="Century"/>
          <w:sz w:val="21"/>
        </w:rPr>
        <w:t xml:space="preserve">50 </w:t>
      </w:r>
      <w:r>
        <w:rPr>
          <w:rFonts w:hint="eastAsia"/>
          <w:sz w:val="21"/>
        </w:rPr>
        <w:t>万円（美術品は</w:t>
      </w:r>
      <w:r>
        <w:rPr>
          <w:rFonts w:hint="default" w:ascii="Century" w:hAnsi="Century"/>
          <w:sz w:val="21"/>
        </w:rPr>
        <w:t xml:space="preserve">300 </w:t>
      </w:r>
      <w:r>
        <w:rPr>
          <w:rFonts w:hint="eastAsia"/>
          <w:sz w:val="21"/>
        </w:rPr>
        <w:t>万円）以上の場合に資産として計上しています。ソフトウェアについても物品の取扱いに準じています。</w:t>
      </w:r>
    </w:p>
    <w:p>
      <w:pPr>
        <w:pStyle w:val="15"/>
        <w:spacing w:line="340" w:lineRule="exact"/>
        <w:rPr>
          <w:rFonts w:hint="default"/>
          <w:sz w:val="21"/>
        </w:rPr>
      </w:pPr>
    </w:p>
    <w:p>
      <w:pPr>
        <w:pStyle w:val="15"/>
        <w:spacing w:line="340" w:lineRule="exact"/>
        <w:rPr>
          <w:rFonts w:hint="default"/>
          <w:sz w:val="21"/>
        </w:rPr>
      </w:pPr>
      <w:r>
        <w:rPr>
          <w:rFonts w:hint="eastAsia"/>
          <w:sz w:val="21"/>
        </w:rPr>
        <w:t>２．重要な会計方針の変更等</w:t>
      </w:r>
    </w:p>
    <w:p>
      <w:pPr>
        <w:pStyle w:val="15"/>
        <w:spacing w:line="340" w:lineRule="exact"/>
        <w:rPr>
          <w:rFonts w:hint="default"/>
          <w:sz w:val="21"/>
        </w:rPr>
      </w:pPr>
      <w:r>
        <w:rPr>
          <w:rFonts w:hint="eastAsia"/>
          <w:sz w:val="21"/>
        </w:rPr>
        <w:t>（１）会計処理の原則</w:t>
      </w:r>
    </w:p>
    <w:p>
      <w:pPr>
        <w:pStyle w:val="15"/>
        <w:spacing w:line="340" w:lineRule="exact"/>
        <w:ind w:firstLine="210" w:firstLineChars="100"/>
        <w:rPr>
          <w:rFonts w:hint="default"/>
          <w:sz w:val="21"/>
        </w:rPr>
      </w:pPr>
      <w:r>
        <w:rPr>
          <w:rFonts w:hint="eastAsia"/>
          <w:sz w:val="21"/>
        </w:rPr>
        <w:t>総務省「新地方公会計制度研究会」報告に基づき、「新統一的な基準」への移行を行っております。これに伴い、固定資産台帳の作成に基づく、固定資産の表示等を行っています。</w:t>
      </w:r>
    </w:p>
    <w:p>
      <w:pPr>
        <w:pStyle w:val="15"/>
        <w:spacing w:line="340" w:lineRule="exact"/>
        <w:rPr>
          <w:rFonts w:hint="default"/>
          <w:sz w:val="21"/>
        </w:rPr>
      </w:pPr>
    </w:p>
    <w:p>
      <w:pPr>
        <w:pStyle w:val="15"/>
        <w:spacing w:line="340" w:lineRule="exact"/>
        <w:rPr>
          <w:rFonts w:hint="default"/>
          <w:sz w:val="21"/>
        </w:rPr>
      </w:pPr>
      <w:r>
        <w:rPr>
          <w:rFonts w:hint="eastAsia"/>
          <w:sz w:val="21"/>
        </w:rPr>
        <w:t>３．重要な後発事象</w:t>
      </w:r>
    </w:p>
    <w:p>
      <w:pPr>
        <w:pStyle w:val="15"/>
        <w:spacing w:line="340" w:lineRule="exact"/>
        <w:rPr>
          <w:rFonts w:hint="default"/>
          <w:sz w:val="21"/>
        </w:rPr>
      </w:pPr>
      <w:r>
        <w:rPr>
          <w:rFonts w:hint="eastAsia"/>
          <w:sz w:val="21"/>
        </w:rPr>
        <w:t>（１）主要な業務の改廃</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（２）地方財政制度の大幅な改正</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（３）組織・機構の大幅な変更</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（４）重大な災害等の発生</w:t>
      </w:r>
    </w:p>
    <w:p>
      <w:pPr>
        <w:pStyle w:val="15"/>
        <w:spacing w:line="340" w:lineRule="exact"/>
        <w:ind w:firstLine="210" w:firstLineChars="100"/>
        <w:rPr>
          <w:rFonts w:hint="default"/>
          <w:sz w:val="21"/>
        </w:rPr>
      </w:pPr>
      <w:r>
        <w:rPr>
          <w:rFonts w:hint="eastAsia"/>
          <w:sz w:val="21"/>
        </w:rPr>
        <w:t>特になし</w:t>
      </w:r>
    </w:p>
    <w:p>
      <w:pPr>
        <w:pStyle w:val="15"/>
        <w:spacing w:line="340" w:lineRule="exact"/>
        <w:ind w:firstLine="210" w:firstLineChars="100"/>
        <w:rPr>
          <w:rFonts w:hint="default"/>
          <w:sz w:val="21"/>
        </w:rPr>
      </w:pPr>
    </w:p>
    <w:p>
      <w:pPr>
        <w:pStyle w:val="15"/>
        <w:spacing w:line="340" w:lineRule="exact"/>
        <w:rPr>
          <w:rFonts w:hint="default"/>
          <w:sz w:val="21"/>
        </w:rPr>
      </w:pPr>
      <w:r>
        <w:rPr>
          <w:rFonts w:hint="eastAsia"/>
          <w:sz w:val="21"/>
        </w:rPr>
        <w:t>（５）その他重要な後発事象</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偶発債務</w:t>
      </w:r>
    </w:p>
    <w:p>
      <w:pPr>
        <w:pStyle w:val="15"/>
        <w:spacing w:line="340" w:lineRule="exact"/>
        <w:rPr>
          <w:rFonts w:hint="default"/>
          <w:sz w:val="21"/>
        </w:rPr>
      </w:pPr>
      <w:r>
        <w:rPr>
          <w:rFonts w:hint="eastAsia"/>
          <w:sz w:val="21"/>
        </w:rPr>
        <w:t>（１）保証債務及び損失補償債務負担の状況</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（２）係争中の訴訟等で損害賠償等の請求を受けているもの</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（３）その他主要な偶発債務</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５．追加情報</w:t>
      </w:r>
    </w:p>
    <w:p>
      <w:pPr>
        <w:pStyle w:val="15"/>
        <w:spacing w:line="340" w:lineRule="exact"/>
        <w:rPr>
          <w:rFonts w:hint="default"/>
          <w:sz w:val="21"/>
        </w:rPr>
      </w:pPr>
      <w:r>
        <w:rPr>
          <w:rFonts w:hint="eastAsia"/>
          <w:sz w:val="21"/>
        </w:rPr>
        <w:t>（１）</w:t>
      </w:r>
      <w:r>
        <w:rPr>
          <w:rFonts w:hint="default"/>
          <w:sz w:val="21"/>
        </w:rPr>
        <w:t xml:space="preserve"> </w:t>
      </w:r>
      <w:r>
        <w:rPr>
          <w:rFonts w:hint="eastAsia"/>
          <w:sz w:val="21"/>
        </w:rPr>
        <w:t>対象範囲（対象とする会計名）</w:t>
      </w:r>
    </w:p>
    <w:p>
      <w:pPr>
        <w:pStyle w:val="15"/>
        <w:spacing w:after="119" w:afterLines="0" w:afterAutospacing="0" w:line="340" w:lineRule="exact"/>
        <w:ind w:firstLine="210" w:firstLineChars="100"/>
        <w:rPr>
          <w:rFonts w:hint="default"/>
          <w:sz w:val="21"/>
        </w:rPr>
      </w:pPr>
      <w:r>
        <w:rPr>
          <w:rFonts w:hint="eastAsia"/>
          <w:sz w:val="21"/>
        </w:rPr>
        <w:t>①</w:t>
      </w:r>
      <w:r>
        <w:rPr>
          <w:rFonts w:hint="default"/>
          <w:sz w:val="21"/>
        </w:rPr>
        <w:t xml:space="preserve"> </w:t>
      </w:r>
      <w:r>
        <w:rPr>
          <w:rFonts w:hint="eastAsia"/>
          <w:sz w:val="21"/>
        </w:rPr>
        <w:t>一般会計</w:t>
      </w:r>
    </w:p>
    <w:p>
      <w:pPr>
        <w:pStyle w:val="15"/>
        <w:spacing w:line="340" w:lineRule="exact"/>
        <w:rPr>
          <w:rFonts w:hint="default"/>
          <w:sz w:val="21"/>
        </w:rPr>
      </w:pPr>
    </w:p>
    <w:p>
      <w:pPr>
        <w:pStyle w:val="15"/>
        <w:spacing w:line="340" w:lineRule="exact"/>
        <w:rPr>
          <w:rFonts w:hint="default"/>
          <w:sz w:val="21"/>
        </w:rPr>
      </w:pPr>
      <w:r>
        <w:rPr>
          <w:rFonts w:hint="eastAsia"/>
          <w:sz w:val="21"/>
        </w:rPr>
        <w:t>（２）</w:t>
      </w:r>
      <w:r>
        <w:rPr>
          <w:rFonts w:hint="default"/>
          <w:sz w:val="21"/>
        </w:rPr>
        <w:t xml:space="preserve"> </w:t>
      </w:r>
      <w:r>
        <w:rPr>
          <w:rFonts w:hint="eastAsia"/>
          <w:sz w:val="21"/>
        </w:rPr>
        <w:t>一般会計等と普通会計の対象範囲等の差異</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（３）</w:t>
      </w:r>
      <w:r>
        <w:rPr>
          <w:rFonts w:hint="default"/>
          <w:sz w:val="21"/>
        </w:rPr>
        <w:t xml:space="preserve"> </w:t>
      </w:r>
      <w:r>
        <w:rPr>
          <w:rFonts w:hint="eastAsia"/>
          <w:sz w:val="21"/>
        </w:rPr>
        <w:t>出納整理期間</w:t>
      </w:r>
    </w:p>
    <w:p>
      <w:pPr>
        <w:pStyle w:val="15"/>
        <w:spacing w:line="340" w:lineRule="exact"/>
        <w:ind w:firstLine="210" w:firstLineChars="100"/>
        <w:rPr>
          <w:rFonts w:hint="default"/>
          <w:sz w:val="21"/>
        </w:rPr>
      </w:pPr>
      <w:r>
        <w:rPr>
          <w:rFonts w:hint="eastAsia"/>
          <w:sz w:val="21"/>
        </w:rPr>
        <w:t>財務書類の作成基準日は、会計年度末（</w:t>
      </w:r>
      <w:r>
        <w:rPr>
          <w:rFonts w:hint="default" w:ascii="Century" w:hAnsi="Century"/>
          <w:sz w:val="21"/>
        </w:rPr>
        <w:t>3</w:t>
      </w:r>
      <w:r>
        <w:rPr>
          <w:rFonts w:hint="eastAsia"/>
          <w:sz w:val="21"/>
        </w:rPr>
        <w:t>月</w:t>
      </w:r>
      <w:r>
        <w:rPr>
          <w:rFonts w:hint="default" w:ascii="Century" w:hAnsi="Century"/>
          <w:sz w:val="21"/>
        </w:rPr>
        <w:t>31</w:t>
      </w:r>
      <w:r>
        <w:rPr>
          <w:rFonts w:hint="eastAsia"/>
          <w:sz w:val="21"/>
        </w:rPr>
        <w:t>日）ですが、出納整理期間中の現金の受払い等を終了した後の計数をもって会計年度末の計数としております。（地方自治法</w:t>
      </w:r>
      <w:r>
        <w:rPr>
          <w:rFonts w:hint="default" w:ascii="Century" w:hAnsi="Century"/>
          <w:sz w:val="21"/>
        </w:rPr>
        <w:t xml:space="preserve">235 </w:t>
      </w:r>
      <w:r>
        <w:rPr>
          <w:rFonts w:hint="eastAsia"/>
          <w:sz w:val="21"/>
        </w:rPr>
        <w:t>条の</w:t>
      </w:r>
      <w:r>
        <w:rPr>
          <w:rFonts w:hint="default" w:ascii="Century" w:hAnsi="Century"/>
          <w:sz w:val="21"/>
        </w:rPr>
        <w:t>5</w:t>
      </w:r>
      <w:r>
        <w:rPr>
          <w:rFonts w:hint="eastAsia"/>
          <w:sz w:val="21"/>
        </w:rPr>
        <w:t>「普通地方公共団体の出納は、翌年度の</w:t>
      </w:r>
      <w:r>
        <w:rPr>
          <w:rFonts w:hint="default" w:ascii="Century" w:hAnsi="Century"/>
          <w:sz w:val="21"/>
        </w:rPr>
        <w:t>5</w:t>
      </w:r>
      <w:r>
        <w:rPr>
          <w:rFonts w:hint="eastAsia"/>
          <w:sz w:val="21"/>
        </w:rPr>
        <w:t>月</w:t>
      </w:r>
      <w:r>
        <w:rPr>
          <w:rFonts w:hint="default" w:ascii="Century" w:hAnsi="Century"/>
          <w:sz w:val="21"/>
        </w:rPr>
        <w:t>31</w:t>
      </w:r>
      <w:r>
        <w:rPr>
          <w:rFonts w:hint="eastAsia"/>
          <w:sz w:val="21"/>
        </w:rPr>
        <w:t>日をもって閉鎖する。」）</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表示単位未満</w:t>
      </w:r>
    </w:p>
    <w:p>
      <w:pPr>
        <w:pStyle w:val="15"/>
        <w:spacing w:line="340" w:lineRule="exact"/>
        <w:ind w:firstLine="210" w:firstLineChars="100"/>
        <w:rPr>
          <w:rFonts w:hint="default"/>
          <w:sz w:val="21"/>
        </w:rPr>
      </w:pPr>
      <w:r>
        <w:rPr>
          <w:rFonts w:hint="eastAsia"/>
          <w:sz w:val="21"/>
        </w:rPr>
        <w:t>表示単位未満の金額は四捨五入とし、一部合計値と不一致があります。</w:t>
      </w:r>
    </w:p>
    <w:p>
      <w:pPr>
        <w:pStyle w:val="0"/>
        <w:spacing w:line="340" w:lineRule="exact"/>
        <w:rPr>
          <w:rFonts w:hint="default"/>
        </w:rPr>
      </w:pPr>
    </w:p>
    <w:p>
      <w:pPr>
        <w:pStyle w:val="15"/>
        <w:spacing w:line="340" w:lineRule="exact"/>
        <w:rPr>
          <w:rFonts w:hint="default"/>
          <w:sz w:val="21"/>
        </w:rPr>
      </w:pPr>
      <w:r>
        <w:rPr>
          <w:rFonts w:hint="eastAsia"/>
          <w:sz w:val="21"/>
        </w:rPr>
        <w:t>（５）売却可能資産に係る資産科目別の金額及びその範囲</w:t>
      </w:r>
    </w:p>
    <w:p>
      <w:pPr>
        <w:pStyle w:val="15"/>
        <w:spacing w:line="340" w:lineRule="exact"/>
        <w:ind w:firstLine="210" w:firstLineChars="100"/>
        <w:rPr>
          <w:rFonts w:hint="default"/>
          <w:sz w:val="21"/>
        </w:rPr>
      </w:pPr>
      <w:r>
        <w:rPr>
          <w:rFonts w:hint="eastAsia"/>
          <w:sz w:val="21"/>
        </w:rPr>
        <w:t>なし</w:t>
      </w:r>
    </w:p>
    <w:p>
      <w:pPr>
        <w:pStyle w:val="15"/>
        <w:spacing w:line="340" w:lineRule="exact"/>
        <w:rPr>
          <w:rFonts w:hint="default"/>
          <w:sz w:val="21"/>
        </w:rPr>
      </w:pPr>
    </w:p>
    <w:p>
      <w:pPr>
        <w:pStyle w:val="15"/>
        <w:spacing w:line="340" w:lineRule="exact"/>
        <w:rPr>
          <w:rFonts w:hint="default"/>
          <w:sz w:val="21"/>
        </w:rPr>
      </w:pPr>
      <w:r>
        <w:rPr>
          <w:rFonts w:hint="eastAsia"/>
          <w:sz w:val="21"/>
        </w:rPr>
        <w:t>（６）減債基金に係る積立不足の有無及び不足額</w:t>
      </w:r>
    </w:p>
    <w:p>
      <w:pPr>
        <w:pStyle w:val="15"/>
        <w:spacing w:line="340" w:lineRule="exact"/>
        <w:ind w:firstLine="210" w:firstLineChars="100"/>
        <w:rPr>
          <w:rFonts w:hint="default"/>
          <w:sz w:val="21"/>
        </w:rPr>
      </w:pPr>
      <w:r>
        <w:rPr>
          <w:rFonts w:hint="eastAsia"/>
          <w:sz w:val="21"/>
        </w:rPr>
        <w:t>なし</w:t>
      </w:r>
    </w:p>
    <w:p>
      <w:pPr>
        <w:pStyle w:val="0"/>
        <w:spacing w:line="340" w:lineRule="exact"/>
        <w:rPr>
          <w:rFonts w:hint="default" w:ascii="Century" w:hAnsi="Century"/>
        </w:rPr>
      </w:pPr>
    </w:p>
    <w:p>
      <w:pPr>
        <w:pStyle w:val="15"/>
        <w:spacing w:line="340" w:lineRule="exact"/>
        <w:rPr>
          <w:rFonts w:hint="default"/>
          <w:sz w:val="21"/>
        </w:rPr>
      </w:pPr>
      <w:r>
        <w:rPr>
          <w:rFonts w:hint="eastAsia"/>
          <w:sz w:val="21"/>
        </w:rPr>
        <w:t>（７）自治法第２３４条の３に基づく長期継続契約で貸借対照表に計上されたリース</w:t>
      </w:r>
    </w:p>
    <w:p>
      <w:pPr>
        <w:pStyle w:val="0"/>
        <w:spacing w:line="340" w:lineRule="exact"/>
        <w:ind w:firstLine="420" w:firstLineChars="200"/>
        <w:rPr>
          <w:rFonts w:hint="default"/>
        </w:rPr>
      </w:pPr>
      <w:r>
        <w:rPr>
          <w:rFonts w:hint="eastAsia"/>
        </w:rPr>
        <w:t>債務金額　なし</w:t>
      </w:r>
    </w:p>
    <w:p>
      <w:pPr>
        <w:pStyle w:val="0"/>
        <w:spacing w:line="340" w:lineRule="exact"/>
        <w:rPr>
          <w:rFonts w:hint="default"/>
        </w:rPr>
      </w:pPr>
    </w:p>
    <w:p>
      <w:pPr>
        <w:pStyle w:val="0"/>
        <w:spacing w:line="340" w:lineRule="exact"/>
        <w:rPr>
          <w:rFonts w:hint="default"/>
        </w:rPr>
      </w:pPr>
    </w:p>
    <w:p>
      <w:pPr>
        <w:pStyle w:val="0"/>
        <w:spacing w:line="340" w:lineRule="exact"/>
        <w:rPr>
          <w:rFonts w:hint="default"/>
        </w:rPr>
      </w:pPr>
    </w:p>
    <w:p>
      <w:pPr>
        <w:pStyle w:val="0"/>
        <w:spacing w:line="340" w:lineRule="exact"/>
        <w:rPr>
          <w:rFonts w:hint="default"/>
        </w:rPr>
      </w:pPr>
    </w:p>
    <w:p>
      <w:pPr>
        <w:pStyle w:val="0"/>
        <w:spacing w:line="340" w:lineRule="exact"/>
        <w:rPr>
          <w:rFonts w:hint="default"/>
        </w:rPr>
      </w:pPr>
    </w:p>
    <w:p>
      <w:pPr>
        <w:pStyle w:val="15"/>
        <w:spacing w:line="340" w:lineRule="exact"/>
        <w:jc w:val="center"/>
        <w:rPr>
          <w:rFonts w:hint="default"/>
          <w:sz w:val="21"/>
        </w:rPr>
      </w:pPr>
    </w:p>
    <w:p>
      <w:pPr>
        <w:pStyle w:val="15"/>
        <w:spacing w:line="340" w:lineRule="exact"/>
        <w:jc w:val="center"/>
        <w:rPr>
          <w:rFonts w:hint="default"/>
          <w:sz w:val="21"/>
        </w:rPr>
      </w:pPr>
    </w:p>
    <w:p>
      <w:pPr>
        <w:pStyle w:val="15"/>
        <w:spacing w:line="340" w:lineRule="exact"/>
        <w:jc w:val="center"/>
        <w:rPr>
          <w:rFonts w:hint="default"/>
          <w:sz w:val="21"/>
        </w:rPr>
      </w:pPr>
      <w:bookmarkStart w:id="0" w:name="_GoBack"/>
      <w:bookmarkEnd w:id="0"/>
      <w:r>
        <w:rPr>
          <w:rFonts w:hint="eastAsia"/>
          <w:sz w:val="21"/>
        </w:rPr>
        <w:t>全体会計財務書類に係る注記</w:t>
      </w:r>
    </w:p>
    <w:p>
      <w:pPr>
        <w:pStyle w:val="15"/>
        <w:spacing w:line="340" w:lineRule="exact"/>
        <w:rPr>
          <w:rFonts w:hint="default"/>
          <w:sz w:val="21"/>
        </w:rPr>
      </w:pPr>
    </w:p>
    <w:p>
      <w:pPr>
        <w:pStyle w:val="15"/>
        <w:spacing w:line="340" w:lineRule="exact"/>
        <w:rPr>
          <w:rFonts w:hint="default"/>
          <w:sz w:val="21"/>
        </w:rPr>
      </w:pPr>
      <w:r>
        <w:rPr>
          <w:rFonts w:hint="eastAsia"/>
          <w:sz w:val="21"/>
        </w:rPr>
        <w:t>１．重要な会計方針</w:t>
      </w:r>
    </w:p>
    <w:p>
      <w:pPr>
        <w:pStyle w:val="15"/>
        <w:spacing w:line="340" w:lineRule="exact"/>
        <w:rPr>
          <w:rFonts w:hint="default"/>
          <w:sz w:val="21"/>
        </w:rPr>
      </w:pPr>
      <w:r>
        <w:rPr>
          <w:rFonts w:hint="eastAsia"/>
          <w:sz w:val="21"/>
        </w:rPr>
        <w:t>（１）</w:t>
      </w:r>
      <w:r>
        <w:rPr>
          <w:rFonts w:hint="default"/>
          <w:sz w:val="21"/>
        </w:rPr>
        <w:t xml:space="preserve"> </w:t>
      </w:r>
      <w:r>
        <w:rPr>
          <w:rFonts w:hint="eastAsia"/>
          <w:sz w:val="21"/>
        </w:rPr>
        <w:t>有形固定資産等の評価基準及び評価方法</w:t>
      </w:r>
    </w:p>
    <w:p>
      <w:pPr>
        <w:pStyle w:val="15"/>
        <w:spacing w:line="340" w:lineRule="exact"/>
        <w:ind w:firstLine="210" w:firstLineChars="100"/>
        <w:rPr>
          <w:rFonts w:hint="default"/>
          <w:sz w:val="21"/>
        </w:rPr>
      </w:pPr>
      <w:r>
        <w:rPr>
          <w:rFonts w:hint="eastAsia"/>
          <w:sz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（２）</w:t>
      </w:r>
      <w:r>
        <w:rPr>
          <w:rFonts w:hint="default"/>
          <w:sz w:val="21"/>
        </w:rPr>
        <w:t xml:space="preserve"> </w:t>
      </w:r>
      <w:r>
        <w:rPr>
          <w:rFonts w:hint="eastAsia"/>
          <w:sz w:val="21"/>
        </w:rPr>
        <w:t>有価証券等の評価基準及び評価方法</w:t>
      </w:r>
    </w:p>
    <w:p>
      <w:pPr>
        <w:pStyle w:val="15"/>
        <w:spacing w:line="340" w:lineRule="exact"/>
        <w:ind w:firstLine="210" w:firstLineChars="100"/>
        <w:rPr>
          <w:rFonts w:hint="default"/>
          <w:sz w:val="21"/>
        </w:rPr>
      </w:pPr>
      <w:r>
        <w:rPr>
          <w:rFonts w:hint="eastAsia"/>
          <w:sz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hint="default" w:ascii="Century" w:hAnsi="Century"/>
          <w:sz w:val="21"/>
        </w:rPr>
        <w:t>30%</w:t>
      </w:r>
      <w:r>
        <w:rPr>
          <w:rFonts w:hint="eastAsia"/>
          <w:sz w:val="21"/>
        </w:rPr>
        <w:t>以上である場合には、「著しく低下したとき」に該当するものとしております。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（３）</w:t>
      </w:r>
      <w:r>
        <w:rPr>
          <w:rFonts w:hint="default"/>
          <w:sz w:val="21"/>
        </w:rPr>
        <w:t xml:space="preserve"> </w:t>
      </w:r>
      <w:r>
        <w:rPr>
          <w:rFonts w:hint="eastAsia"/>
          <w:sz w:val="21"/>
        </w:rPr>
        <w:t>有形固定資産等の減価償却の方法</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有形固定資産（事業用資産、インフラ資産）</w:t>
      </w:r>
    </w:p>
    <w:p>
      <w:pPr>
        <w:pStyle w:val="15"/>
        <w:spacing w:line="340" w:lineRule="exact"/>
        <w:ind w:firstLine="210" w:firstLineChars="100"/>
        <w:rPr>
          <w:rFonts w:hint="default"/>
          <w:sz w:val="21"/>
        </w:rPr>
      </w:pPr>
      <w:r>
        <w:rPr>
          <w:rFonts w:hint="eastAsia"/>
          <w:sz w:val="21"/>
        </w:rPr>
        <w:t>定額法を採用しております。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無形固定資産</w:t>
      </w:r>
    </w:p>
    <w:p>
      <w:pPr>
        <w:pStyle w:val="15"/>
        <w:spacing w:line="340" w:lineRule="exact"/>
        <w:ind w:firstLine="210" w:firstLineChars="100"/>
        <w:rPr>
          <w:rFonts w:hint="default"/>
          <w:sz w:val="21"/>
        </w:rPr>
      </w:pPr>
      <w:r>
        <w:rPr>
          <w:rFonts w:hint="eastAsia"/>
          <w:sz w:val="21"/>
        </w:rPr>
        <w:t>定額法を採用しております。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引当金の計上基準及び算定方法</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徴収不能引当金</w:t>
      </w:r>
    </w:p>
    <w:p>
      <w:pPr>
        <w:pStyle w:val="15"/>
        <w:spacing w:line="340" w:lineRule="exact"/>
        <w:ind w:firstLine="210" w:firstLineChars="100"/>
        <w:rPr>
          <w:rFonts w:hint="default"/>
          <w:sz w:val="21"/>
        </w:rPr>
      </w:pPr>
      <w:r>
        <w:rPr>
          <w:rFonts w:hint="eastAsia"/>
          <w:sz w:val="21"/>
        </w:rPr>
        <w:t>過去</w:t>
      </w:r>
      <w:r>
        <w:rPr>
          <w:rFonts w:hint="default" w:ascii="Century" w:hAnsi="Century"/>
          <w:sz w:val="21"/>
        </w:rPr>
        <w:t>5</w:t>
      </w:r>
      <w:r>
        <w:rPr>
          <w:rFonts w:hint="eastAsia"/>
          <w:sz w:val="21"/>
        </w:rPr>
        <w:t>年間の平均不納欠損率により計上しております。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賞与引当金</w:t>
      </w:r>
    </w:p>
    <w:p>
      <w:pPr>
        <w:pStyle w:val="15"/>
        <w:spacing w:line="340" w:lineRule="exact"/>
        <w:ind w:firstLine="210" w:firstLineChars="100"/>
        <w:rPr>
          <w:rFonts w:hint="default"/>
          <w:sz w:val="21"/>
        </w:rPr>
      </w:pPr>
      <w:r>
        <w:rPr>
          <w:rFonts w:hint="eastAsia"/>
          <w:sz w:val="21"/>
        </w:rPr>
        <w:t>翌年度</w:t>
      </w:r>
      <w:r>
        <w:rPr>
          <w:rFonts w:hint="default" w:ascii="Century" w:hAnsi="Century"/>
          <w:sz w:val="21"/>
        </w:rPr>
        <w:t>6</w:t>
      </w:r>
      <w:r>
        <w:rPr>
          <w:rFonts w:hint="eastAsia"/>
          <w:sz w:val="21"/>
        </w:rPr>
        <w:t>月支給予定の期末・勤勉手当のうち、全支給対象期間に対する本年度の支給対象期間の割合（</w:t>
      </w:r>
      <w:r>
        <w:rPr>
          <w:rFonts w:hint="default" w:ascii="Century" w:hAnsi="Century"/>
          <w:sz w:val="21"/>
        </w:rPr>
        <w:t>4/6</w:t>
      </w:r>
      <w:r>
        <w:rPr>
          <w:rFonts w:hint="eastAsia"/>
          <w:sz w:val="21"/>
        </w:rPr>
        <w:t>か月）を乗じた額を計上しております。</w:t>
      </w:r>
    </w:p>
    <w:p>
      <w:pPr>
        <w:pStyle w:val="15"/>
        <w:spacing w:line="340" w:lineRule="exact"/>
        <w:rPr>
          <w:rFonts w:hint="default"/>
          <w:sz w:val="21"/>
        </w:rPr>
      </w:pPr>
      <w:r>
        <w:rPr>
          <w:rFonts w:hint="eastAsia"/>
          <w:sz w:val="21"/>
        </w:rPr>
        <w:t>③</w:t>
      </w:r>
      <w:r>
        <w:rPr>
          <w:rFonts w:hint="default"/>
          <w:sz w:val="21"/>
        </w:rPr>
        <w:t xml:space="preserve"> </w:t>
      </w:r>
      <w:r>
        <w:rPr>
          <w:rFonts w:hint="eastAsia"/>
          <w:sz w:val="21"/>
        </w:rPr>
        <w:t>退職給付引当金</w:t>
      </w:r>
    </w:p>
    <w:p>
      <w:pPr>
        <w:pStyle w:val="15"/>
        <w:spacing w:line="340" w:lineRule="exact"/>
        <w:ind w:firstLine="210" w:firstLineChars="100"/>
        <w:rPr>
          <w:rFonts w:hint="default"/>
          <w:sz w:val="21"/>
        </w:rPr>
      </w:pPr>
      <w:r>
        <w:rPr>
          <w:rFonts w:hint="eastAsia"/>
          <w:sz w:val="21"/>
        </w:rPr>
        <w:t>地方公共団体財政健全化法における退職手当支給額に係る負担見込額算定方法に従っております。</w:t>
      </w:r>
    </w:p>
    <w:p>
      <w:pPr>
        <w:pStyle w:val="15"/>
        <w:spacing w:line="340" w:lineRule="exact"/>
        <w:ind w:firstLine="210" w:firstLineChars="100"/>
        <w:rPr>
          <w:rFonts w:hint="default"/>
          <w:sz w:val="21"/>
        </w:rPr>
      </w:pPr>
      <w:r>
        <w:rPr>
          <w:rFonts w:hint="eastAsia"/>
          <w:sz w:val="21"/>
        </w:rPr>
        <w:t>また、当期繰入額がマイナスとなった場合は、経常収益その他へ振り替えております。</w:t>
      </w:r>
    </w:p>
    <w:p>
      <w:pPr>
        <w:pStyle w:val="15"/>
        <w:spacing w:line="340" w:lineRule="exact"/>
        <w:rPr>
          <w:rFonts w:hint="default"/>
          <w:sz w:val="21"/>
        </w:rPr>
      </w:pPr>
      <w:r>
        <w:rPr>
          <w:rFonts w:hint="eastAsia"/>
          <w:sz w:val="21"/>
        </w:rPr>
        <w:t>④</w:t>
      </w:r>
      <w:r>
        <w:rPr>
          <w:rFonts w:hint="default"/>
          <w:sz w:val="21"/>
        </w:rPr>
        <w:t xml:space="preserve"> </w:t>
      </w:r>
      <w:r>
        <w:rPr>
          <w:rFonts w:hint="eastAsia"/>
          <w:sz w:val="21"/>
        </w:rPr>
        <w:t>損失補償引当金</w:t>
      </w:r>
    </w:p>
    <w:p>
      <w:pPr>
        <w:pStyle w:val="15"/>
        <w:spacing w:line="340" w:lineRule="exact"/>
        <w:ind w:firstLine="210" w:firstLineChars="100"/>
        <w:rPr>
          <w:rFonts w:hint="default"/>
          <w:sz w:val="21"/>
        </w:rPr>
      </w:pPr>
      <w:r>
        <w:rPr>
          <w:rFonts w:hint="eastAsia"/>
          <w:sz w:val="21"/>
        </w:rPr>
        <w:t>地方公共団体財政健全化法における損失補償債務等に係る一般会計等負担見込額算定方法に従っております。</w:t>
      </w:r>
    </w:p>
    <w:p>
      <w:pPr>
        <w:pStyle w:val="15"/>
        <w:spacing w:line="340" w:lineRule="exact"/>
        <w:ind w:firstLine="210" w:firstLineChars="100"/>
        <w:rPr>
          <w:rFonts w:hint="default"/>
          <w:sz w:val="21"/>
        </w:rPr>
      </w:pPr>
      <w:r>
        <w:rPr>
          <w:rFonts w:hint="eastAsia"/>
          <w:sz w:val="21"/>
        </w:rPr>
        <w:t>また、当期繰入額がマイナスとなった場合は、臨時利益へ振り替えております。</w:t>
      </w:r>
    </w:p>
    <w:p>
      <w:pPr>
        <w:pStyle w:val="15"/>
        <w:spacing w:line="340" w:lineRule="exact"/>
        <w:ind w:firstLine="210" w:firstLineChars="100"/>
        <w:rPr>
          <w:rFonts w:hint="default"/>
          <w:sz w:val="21"/>
        </w:rPr>
      </w:pPr>
    </w:p>
    <w:p>
      <w:pPr>
        <w:pStyle w:val="15"/>
        <w:spacing w:line="340" w:lineRule="exact"/>
        <w:ind w:firstLine="210" w:firstLineChars="100"/>
        <w:rPr>
          <w:rFonts w:hint="default"/>
          <w:sz w:val="21"/>
        </w:rPr>
      </w:pPr>
    </w:p>
    <w:p>
      <w:pPr>
        <w:pStyle w:val="15"/>
        <w:spacing w:line="340" w:lineRule="exact"/>
        <w:rPr>
          <w:rFonts w:hint="default"/>
          <w:sz w:val="21"/>
        </w:rPr>
      </w:pPr>
      <w:r>
        <w:rPr>
          <w:rFonts w:hint="eastAsia"/>
          <w:sz w:val="21"/>
        </w:rPr>
        <w:t>（５）</w:t>
      </w:r>
      <w:r>
        <w:rPr>
          <w:rFonts w:hint="default"/>
          <w:sz w:val="21"/>
        </w:rPr>
        <w:t xml:space="preserve"> </w:t>
      </w:r>
      <w:r>
        <w:rPr>
          <w:rFonts w:hint="eastAsia"/>
          <w:sz w:val="21"/>
        </w:rPr>
        <w:t>リース取引の処理方法</w:t>
      </w:r>
    </w:p>
    <w:p>
      <w:pPr>
        <w:pStyle w:val="15"/>
        <w:spacing w:line="340" w:lineRule="exact"/>
        <w:ind w:firstLine="210" w:firstLineChars="100"/>
        <w:rPr>
          <w:rFonts w:hint="default"/>
          <w:sz w:val="21"/>
        </w:rPr>
      </w:pPr>
      <w:r>
        <w:rPr>
          <w:rFonts w:hint="eastAsia"/>
          <w:sz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（６）</w:t>
      </w:r>
      <w:r>
        <w:rPr>
          <w:rFonts w:hint="default"/>
          <w:sz w:val="21"/>
        </w:rPr>
        <w:t xml:space="preserve"> </w:t>
      </w:r>
      <w:r>
        <w:rPr>
          <w:rFonts w:hint="eastAsia"/>
          <w:sz w:val="21"/>
        </w:rPr>
        <w:t>資金収支計算書における資金の範囲</w:t>
      </w:r>
    </w:p>
    <w:p>
      <w:pPr>
        <w:pStyle w:val="15"/>
        <w:spacing w:line="340" w:lineRule="exact"/>
        <w:ind w:firstLine="210" w:firstLineChars="100"/>
        <w:rPr>
          <w:rFonts w:hint="default"/>
          <w:sz w:val="21"/>
        </w:rPr>
      </w:pPr>
      <w:r>
        <w:rPr>
          <w:rFonts w:hint="eastAsia"/>
          <w:sz w:val="21"/>
        </w:rPr>
        <w:t>現金（手許現金及び要求払預金）及び現金同等物（</w:t>
      </w:r>
      <w:r>
        <w:rPr>
          <w:rFonts w:hint="default" w:ascii="Century" w:hAnsi="Century"/>
          <w:sz w:val="21"/>
        </w:rPr>
        <w:t>3</w:t>
      </w:r>
      <w:r>
        <w:rPr>
          <w:rFonts w:hint="eastAsia"/>
          <w:sz w:val="21"/>
        </w:rPr>
        <w:t>ヶ月以内の短期投資等）を資金の範囲としております。このうち現金同等物は、短期投資の他、出納整理期間中の取引により発生する資金の受払いも含んでおります。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（７）</w:t>
      </w:r>
      <w:r>
        <w:rPr>
          <w:rFonts w:hint="default"/>
          <w:sz w:val="21"/>
        </w:rPr>
        <w:t xml:space="preserve"> </w:t>
      </w:r>
      <w:r>
        <w:rPr>
          <w:rFonts w:hint="eastAsia"/>
          <w:sz w:val="21"/>
        </w:rPr>
        <w:t>その他財務書類作成のための基本となる重要な事項</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消費税等の会計処理</w:t>
      </w:r>
    </w:p>
    <w:p>
      <w:pPr>
        <w:pStyle w:val="15"/>
        <w:spacing w:line="340" w:lineRule="exact"/>
        <w:ind w:firstLine="210" w:firstLineChars="100"/>
        <w:rPr>
          <w:rFonts w:hint="default"/>
          <w:sz w:val="21"/>
        </w:rPr>
      </w:pPr>
      <w:r>
        <w:rPr>
          <w:rFonts w:hint="eastAsia"/>
          <w:sz w:val="21"/>
        </w:rPr>
        <w:t>税込方式によっております。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物品及びソフトウェアの計上基準</w:t>
      </w:r>
    </w:p>
    <w:p>
      <w:pPr>
        <w:pStyle w:val="15"/>
        <w:spacing w:line="340" w:lineRule="exact"/>
        <w:ind w:firstLine="210" w:firstLineChars="100"/>
        <w:rPr>
          <w:rFonts w:hint="default"/>
          <w:sz w:val="21"/>
        </w:rPr>
      </w:pPr>
      <w:r>
        <w:rPr>
          <w:rFonts w:hint="eastAsia"/>
          <w:sz w:val="21"/>
        </w:rPr>
        <w:t>物品については、取得価額又は見積価格が</w:t>
      </w:r>
      <w:r>
        <w:rPr>
          <w:rFonts w:hint="default" w:ascii="Century" w:hAnsi="Century"/>
          <w:sz w:val="21"/>
        </w:rPr>
        <w:t xml:space="preserve">50 </w:t>
      </w:r>
      <w:r>
        <w:rPr>
          <w:rFonts w:hint="eastAsia"/>
          <w:sz w:val="21"/>
        </w:rPr>
        <w:t>万円（美術品は</w:t>
      </w:r>
      <w:r>
        <w:rPr>
          <w:rFonts w:hint="default" w:ascii="Century" w:hAnsi="Century"/>
          <w:sz w:val="21"/>
        </w:rPr>
        <w:t xml:space="preserve">300 </w:t>
      </w:r>
      <w:r>
        <w:rPr>
          <w:rFonts w:hint="eastAsia"/>
          <w:sz w:val="21"/>
        </w:rPr>
        <w:t>万円）以上の場合に資産として計上しています。ソフトウェアについても物品の取扱いに準じています。</w:t>
      </w:r>
    </w:p>
    <w:p>
      <w:pPr>
        <w:pStyle w:val="15"/>
        <w:spacing w:line="340" w:lineRule="exact"/>
        <w:rPr>
          <w:rFonts w:hint="default"/>
          <w:sz w:val="21"/>
        </w:rPr>
      </w:pPr>
    </w:p>
    <w:p>
      <w:pPr>
        <w:pStyle w:val="15"/>
        <w:spacing w:line="340" w:lineRule="exact"/>
        <w:rPr>
          <w:rFonts w:hint="default"/>
          <w:sz w:val="21"/>
        </w:rPr>
      </w:pPr>
      <w:r>
        <w:rPr>
          <w:rFonts w:hint="eastAsia"/>
          <w:sz w:val="21"/>
        </w:rPr>
        <w:t>２．重要な会計方針の変更等</w:t>
      </w:r>
    </w:p>
    <w:p>
      <w:pPr>
        <w:pStyle w:val="15"/>
        <w:spacing w:line="340" w:lineRule="exact"/>
        <w:rPr>
          <w:rFonts w:hint="default"/>
          <w:sz w:val="21"/>
        </w:rPr>
      </w:pPr>
      <w:r>
        <w:rPr>
          <w:rFonts w:hint="eastAsia"/>
          <w:sz w:val="21"/>
        </w:rPr>
        <w:t>（１）会計処理の原則</w:t>
      </w:r>
    </w:p>
    <w:p>
      <w:pPr>
        <w:pStyle w:val="15"/>
        <w:spacing w:line="340" w:lineRule="exact"/>
        <w:ind w:firstLine="210" w:firstLineChars="100"/>
        <w:rPr>
          <w:rFonts w:hint="default"/>
          <w:sz w:val="21"/>
        </w:rPr>
      </w:pPr>
      <w:r>
        <w:rPr>
          <w:rFonts w:hint="eastAsia"/>
          <w:sz w:val="21"/>
        </w:rPr>
        <w:t>総務省「新地方公会計制度研究会」報告に基づき、「新統一的な基準」への移行を行っております。これに伴い、固定資産台帳の作成に基づく、固定資産の表示等を行っています。</w:t>
      </w:r>
    </w:p>
    <w:p>
      <w:pPr>
        <w:pStyle w:val="15"/>
        <w:spacing w:line="340" w:lineRule="exact"/>
        <w:rPr>
          <w:rFonts w:hint="default"/>
          <w:sz w:val="21"/>
        </w:rPr>
      </w:pPr>
    </w:p>
    <w:p>
      <w:pPr>
        <w:pStyle w:val="15"/>
        <w:spacing w:line="340" w:lineRule="exact"/>
        <w:rPr>
          <w:rFonts w:hint="default"/>
          <w:sz w:val="21"/>
        </w:rPr>
      </w:pPr>
      <w:r>
        <w:rPr>
          <w:rFonts w:hint="eastAsia"/>
          <w:sz w:val="21"/>
        </w:rPr>
        <w:t>３．重要な後発事象</w:t>
      </w:r>
    </w:p>
    <w:p>
      <w:pPr>
        <w:pStyle w:val="15"/>
        <w:spacing w:line="340" w:lineRule="exact"/>
        <w:rPr>
          <w:rFonts w:hint="default"/>
          <w:sz w:val="21"/>
        </w:rPr>
      </w:pPr>
      <w:r>
        <w:rPr>
          <w:rFonts w:hint="eastAsia"/>
          <w:sz w:val="21"/>
        </w:rPr>
        <w:t>（１）主要な業務の改廃</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（２）地方財政制度の大幅な改正</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（３）組織・機構の大幅な変更</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（４）重大な災害等の発生</w:t>
      </w:r>
    </w:p>
    <w:p>
      <w:pPr>
        <w:pStyle w:val="15"/>
        <w:spacing w:line="340" w:lineRule="exact"/>
        <w:ind w:firstLine="210" w:firstLineChars="100"/>
        <w:rPr>
          <w:rFonts w:hint="default"/>
          <w:sz w:val="21"/>
        </w:rPr>
      </w:pPr>
      <w:r>
        <w:rPr>
          <w:rFonts w:hint="eastAsia"/>
          <w:sz w:val="21"/>
        </w:rPr>
        <w:t>特になし</w:t>
      </w:r>
    </w:p>
    <w:p>
      <w:pPr>
        <w:pStyle w:val="15"/>
        <w:spacing w:line="340" w:lineRule="exact"/>
        <w:ind w:firstLine="210" w:firstLineChars="100"/>
        <w:rPr>
          <w:rFonts w:hint="default"/>
          <w:sz w:val="21"/>
        </w:rPr>
      </w:pPr>
    </w:p>
    <w:p>
      <w:pPr>
        <w:pStyle w:val="15"/>
        <w:spacing w:line="340" w:lineRule="exact"/>
        <w:rPr>
          <w:rFonts w:hint="default"/>
          <w:sz w:val="21"/>
        </w:rPr>
      </w:pPr>
      <w:r>
        <w:rPr>
          <w:rFonts w:hint="eastAsia"/>
          <w:sz w:val="21"/>
        </w:rPr>
        <w:t>（５）その他重要な後発事象</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偶発債務</w:t>
      </w:r>
    </w:p>
    <w:p>
      <w:pPr>
        <w:pStyle w:val="15"/>
        <w:spacing w:line="340" w:lineRule="exact"/>
        <w:rPr>
          <w:rFonts w:hint="default"/>
          <w:sz w:val="21"/>
        </w:rPr>
      </w:pPr>
      <w:r>
        <w:rPr>
          <w:rFonts w:hint="eastAsia"/>
          <w:sz w:val="21"/>
        </w:rPr>
        <w:t>（１）保証債務及び損失補償債務負担の状況</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（２）係争中の訴訟等で損害賠償等の請求を受けているもの</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（３）その他主要な偶発債務</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５．追加情報</w:t>
      </w:r>
    </w:p>
    <w:p>
      <w:pPr>
        <w:pStyle w:val="15"/>
        <w:spacing w:after="119" w:afterLines="0" w:afterAutospacing="0" w:line="340" w:lineRule="exact"/>
        <w:ind w:firstLine="210" w:firstLineChars="100"/>
        <w:rPr>
          <w:rFonts w:hint="default"/>
          <w:sz w:val="21"/>
        </w:rPr>
      </w:pPr>
      <w:r>
        <w:rPr>
          <w:rFonts w:hint="eastAsia"/>
          <w:sz w:val="21"/>
        </w:rPr>
        <w:t>（１）</w:t>
      </w:r>
      <w:r>
        <w:rPr>
          <w:rFonts w:hint="default"/>
          <w:sz w:val="21"/>
        </w:rPr>
        <w:t xml:space="preserve"> </w:t>
      </w:r>
      <w:r>
        <w:rPr>
          <w:rFonts w:hint="eastAsia"/>
          <w:sz w:val="21"/>
        </w:rPr>
        <w:t>対象範囲（対象とする会計名）</w:t>
      </w:r>
    </w:p>
    <w:p>
      <w:pPr>
        <w:pStyle w:val="15"/>
        <w:spacing w:after="119" w:afterLines="0" w:afterAutospacing="0" w:line="340" w:lineRule="exact"/>
        <w:ind w:firstLine="210" w:firstLineChars="100"/>
        <w:rPr>
          <w:rFonts w:hint="default"/>
          <w:sz w:val="21"/>
        </w:rPr>
      </w:pPr>
      <w:r>
        <w:rPr>
          <w:rFonts w:hint="eastAsia"/>
          <w:sz w:val="21"/>
        </w:rPr>
        <w:t>①</w:t>
      </w:r>
      <w:r>
        <w:rPr>
          <w:rFonts w:hint="default"/>
          <w:sz w:val="21"/>
        </w:rPr>
        <w:t xml:space="preserve"> </w:t>
      </w:r>
      <w:r>
        <w:rPr>
          <w:rFonts w:hint="eastAsia"/>
          <w:sz w:val="21"/>
        </w:rPr>
        <w:t>一般会計</w:t>
      </w:r>
    </w:p>
    <w:p>
      <w:pPr>
        <w:pStyle w:val="15"/>
        <w:spacing w:after="119" w:afterLines="0" w:afterAutospacing="0" w:line="340" w:lineRule="exact"/>
        <w:ind w:firstLine="210" w:firstLineChars="100"/>
        <w:rPr>
          <w:rFonts w:hint="default"/>
          <w:sz w:val="21"/>
        </w:rPr>
      </w:pPr>
      <w:r>
        <w:rPr>
          <w:rFonts w:hint="eastAsia"/>
          <w:sz w:val="21"/>
        </w:rPr>
        <w:t>②今宿東土地区画整理事業特別会計</w:t>
      </w:r>
    </w:p>
    <w:p>
      <w:pPr>
        <w:pStyle w:val="15"/>
        <w:spacing w:after="119" w:afterLines="0" w:afterAutospacing="0" w:line="340" w:lineRule="exact"/>
        <w:ind w:firstLine="210" w:firstLineChars="100"/>
        <w:rPr>
          <w:rFonts w:hint="default"/>
          <w:sz w:val="21"/>
        </w:rPr>
      </w:pPr>
      <w:r>
        <w:rPr>
          <w:rFonts w:hint="eastAsia"/>
          <w:sz w:val="21"/>
        </w:rPr>
        <w:t>③国民健康保険特別会計</w:t>
      </w:r>
    </w:p>
    <w:p>
      <w:pPr>
        <w:pStyle w:val="15"/>
        <w:spacing w:after="119" w:afterLines="0" w:afterAutospacing="0" w:line="340" w:lineRule="exact"/>
        <w:ind w:firstLine="210" w:firstLineChars="100"/>
        <w:rPr>
          <w:rFonts w:hint="default"/>
          <w:sz w:val="21"/>
        </w:rPr>
      </w:pPr>
      <w:r>
        <w:rPr>
          <w:rFonts w:hint="eastAsia"/>
          <w:sz w:val="21"/>
        </w:rPr>
        <w:t>④農業集落排水事業特別会計</w:t>
      </w:r>
    </w:p>
    <w:p>
      <w:pPr>
        <w:pStyle w:val="15"/>
        <w:spacing w:after="119" w:afterLines="0" w:afterAutospacing="0" w:line="340" w:lineRule="exact"/>
        <w:ind w:firstLine="210" w:firstLineChars="100"/>
        <w:rPr>
          <w:rFonts w:hint="default"/>
          <w:sz w:val="21"/>
        </w:rPr>
      </w:pPr>
      <w:r>
        <w:rPr>
          <w:rFonts w:hint="eastAsia"/>
          <w:sz w:val="21"/>
        </w:rPr>
        <w:t>⑤介護保険特別会計</w:t>
      </w:r>
    </w:p>
    <w:p>
      <w:pPr>
        <w:pStyle w:val="15"/>
        <w:spacing w:after="119" w:afterLines="0" w:afterAutospacing="0" w:line="340" w:lineRule="exact"/>
        <w:ind w:firstLine="210" w:firstLineChars="100"/>
        <w:rPr>
          <w:rFonts w:hint="default"/>
          <w:sz w:val="21"/>
        </w:rPr>
      </w:pPr>
      <w:r>
        <w:rPr>
          <w:rFonts w:hint="eastAsia"/>
          <w:sz w:val="21"/>
        </w:rPr>
        <w:t>⑥浄化槽設置管理事業特別会計</w:t>
      </w:r>
    </w:p>
    <w:p>
      <w:pPr>
        <w:pStyle w:val="15"/>
        <w:spacing w:after="119" w:afterLines="0" w:afterAutospacing="0" w:line="340" w:lineRule="exact"/>
        <w:ind w:firstLine="210" w:firstLineChars="100"/>
        <w:rPr>
          <w:rFonts w:hint="default"/>
          <w:sz w:val="21"/>
        </w:rPr>
      </w:pPr>
      <w:r>
        <w:rPr>
          <w:rFonts w:hint="eastAsia"/>
          <w:sz w:val="21"/>
        </w:rPr>
        <w:t>⑦後期高齢者医療特別会計</w:t>
      </w:r>
    </w:p>
    <w:p>
      <w:pPr>
        <w:pStyle w:val="15"/>
        <w:spacing w:after="119" w:afterLines="0" w:afterAutospacing="0" w:line="340" w:lineRule="exact"/>
        <w:ind w:firstLine="210" w:firstLineChars="100"/>
        <w:rPr>
          <w:rFonts w:hint="default"/>
          <w:sz w:val="21"/>
        </w:rPr>
      </w:pPr>
      <w:r>
        <w:rPr>
          <w:rFonts w:hint="eastAsia"/>
          <w:sz w:val="21"/>
        </w:rPr>
        <w:t>⑧水道事業会計</w:t>
      </w:r>
    </w:p>
    <w:p>
      <w:pPr>
        <w:pStyle w:val="15"/>
        <w:spacing w:after="119" w:afterLines="0" w:afterAutospacing="0" w:line="340" w:lineRule="exact"/>
        <w:ind w:firstLine="210" w:firstLineChars="100"/>
        <w:rPr>
          <w:rFonts w:hint="default"/>
          <w:sz w:val="21"/>
        </w:rPr>
      </w:pPr>
      <w:r>
        <w:rPr>
          <w:rFonts w:hint="eastAsia"/>
          <w:sz w:val="21"/>
        </w:rPr>
        <w:t>⑨下水道事業会計</w:t>
      </w:r>
    </w:p>
    <w:p>
      <w:pPr>
        <w:pStyle w:val="15"/>
        <w:spacing w:after="119" w:afterLines="0" w:afterAutospacing="0" w:line="340" w:lineRule="exact"/>
        <w:ind w:firstLine="210" w:firstLineChars="100"/>
        <w:rPr>
          <w:rFonts w:hint="default"/>
          <w:sz w:val="21"/>
        </w:rPr>
      </w:pPr>
      <w:r>
        <w:rPr>
          <w:rFonts w:hint="eastAsia"/>
          <w:sz w:val="21"/>
        </w:rPr>
        <w:t>⑩埼玉県後期高齢者医療広域連合</w:t>
      </w:r>
    </w:p>
    <w:p>
      <w:pPr>
        <w:pStyle w:val="15"/>
        <w:spacing w:after="119" w:afterLines="0" w:afterAutospacing="0" w:line="340" w:lineRule="exact"/>
        <w:ind w:firstLine="210" w:firstLineChars="100"/>
        <w:rPr>
          <w:rFonts w:hint="default"/>
          <w:sz w:val="21"/>
        </w:rPr>
      </w:pPr>
      <w:r>
        <w:rPr>
          <w:rFonts w:hint="eastAsia"/>
          <w:sz w:val="21"/>
        </w:rPr>
        <w:t>⑪彩の国さいたま人づくり広域連合</w:t>
      </w:r>
    </w:p>
    <w:p>
      <w:pPr>
        <w:pStyle w:val="15"/>
        <w:spacing w:after="119" w:afterLines="0" w:afterAutospacing="0" w:line="340" w:lineRule="exact"/>
        <w:ind w:firstLine="210" w:firstLineChars="100"/>
        <w:rPr>
          <w:rFonts w:hint="default"/>
          <w:sz w:val="21"/>
        </w:rPr>
      </w:pPr>
    </w:p>
    <w:p>
      <w:pPr>
        <w:pStyle w:val="15"/>
        <w:spacing w:line="340" w:lineRule="exact"/>
        <w:rPr>
          <w:rFonts w:hint="default"/>
          <w:sz w:val="21"/>
        </w:rPr>
      </w:pPr>
      <w:r>
        <w:rPr>
          <w:rFonts w:hint="eastAsia"/>
          <w:sz w:val="21"/>
        </w:rPr>
        <w:t>（２）</w:t>
      </w:r>
      <w:r>
        <w:rPr>
          <w:rFonts w:hint="default"/>
          <w:sz w:val="21"/>
        </w:rPr>
        <w:t xml:space="preserve"> </w:t>
      </w:r>
      <w:r>
        <w:rPr>
          <w:rFonts w:hint="eastAsia"/>
          <w:sz w:val="21"/>
        </w:rPr>
        <w:t>一般会計等と普通会計の対象範囲等の差異</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（３）</w:t>
      </w:r>
      <w:r>
        <w:rPr>
          <w:rFonts w:hint="default"/>
          <w:sz w:val="21"/>
        </w:rPr>
        <w:t xml:space="preserve"> </w:t>
      </w:r>
      <w:r>
        <w:rPr>
          <w:rFonts w:hint="eastAsia"/>
          <w:sz w:val="21"/>
        </w:rPr>
        <w:t>出納整理期間</w:t>
      </w:r>
    </w:p>
    <w:p>
      <w:pPr>
        <w:pStyle w:val="15"/>
        <w:spacing w:line="340" w:lineRule="exact"/>
        <w:ind w:firstLine="210" w:firstLineChars="100"/>
        <w:rPr>
          <w:rFonts w:hint="default"/>
          <w:sz w:val="21"/>
        </w:rPr>
      </w:pPr>
      <w:r>
        <w:rPr>
          <w:rFonts w:hint="eastAsia"/>
          <w:sz w:val="21"/>
        </w:rPr>
        <w:t>財務書類の作成基準日は、会計年度末（</w:t>
      </w:r>
      <w:r>
        <w:rPr>
          <w:rFonts w:hint="default" w:ascii="Century" w:hAnsi="Century"/>
          <w:sz w:val="21"/>
        </w:rPr>
        <w:t>3</w:t>
      </w:r>
      <w:r>
        <w:rPr>
          <w:rFonts w:hint="eastAsia"/>
          <w:sz w:val="21"/>
        </w:rPr>
        <w:t>月</w:t>
      </w:r>
      <w:r>
        <w:rPr>
          <w:rFonts w:hint="default" w:ascii="Century" w:hAnsi="Century"/>
          <w:sz w:val="21"/>
        </w:rPr>
        <w:t>31</w:t>
      </w:r>
      <w:r>
        <w:rPr>
          <w:rFonts w:hint="eastAsia"/>
          <w:sz w:val="21"/>
        </w:rPr>
        <w:t>日）ですが、出納整理期間中の現金の受払い等を終了した後の計数をもって会計年度末の計数としております。（地方自治法</w:t>
      </w:r>
      <w:r>
        <w:rPr>
          <w:rFonts w:hint="default" w:ascii="Century" w:hAnsi="Century"/>
          <w:sz w:val="21"/>
        </w:rPr>
        <w:t xml:space="preserve">235 </w:t>
      </w:r>
      <w:r>
        <w:rPr>
          <w:rFonts w:hint="eastAsia"/>
          <w:sz w:val="21"/>
        </w:rPr>
        <w:t>条の</w:t>
      </w:r>
      <w:r>
        <w:rPr>
          <w:rFonts w:hint="default" w:ascii="Century" w:hAnsi="Century"/>
          <w:sz w:val="21"/>
        </w:rPr>
        <w:t>5</w:t>
      </w:r>
      <w:r>
        <w:rPr>
          <w:rFonts w:hint="eastAsia"/>
          <w:sz w:val="21"/>
        </w:rPr>
        <w:t>「普通地方公共団体の出納は、翌年度の</w:t>
      </w:r>
      <w:r>
        <w:rPr>
          <w:rFonts w:hint="default" w:ascii="Century" w:hAnsi="Century"/>
          <w:sz w:val="21"/>
        </w:rPr>
        <w:t>5</w:t>
      </w:r>
      <w:r>
        <w:rPr>
          <w:rFonts w:hint="eastAsia"/>
          <w:sz w:val="21"/>
        </w:rPr>
        <w:t>月</w:t>
      </w:r>
      <w:r>
        <w:rPr>
          <w:rFonts w:hint="default" w:ascii="Century" w:hAnsi="Century"/>
          <w:sz w:val="21"/>
        </w:rPr>
        <w:t>31</w:t>
      </w:r>
      <w:r>
        <w:rPr>
          <w:rFonts w:hint="eastAsia"/>
          <w:sz w:val="21"/>
        </w:rPr>
        <w:t>日をもって閉鎖する。」）</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表示単位未満</w:t>
      </w:r>
    </w:p>
    <w:p>
      <w:pPr>
        <w:pStyle w:val="15"/>
        <w:spacing w:line="340" w:lineRule="exact"/>
        <w:ind w:firstLine="210" w:firstLineChars="100"/>
        <w:rPr>
          <w:rFonts w:hint="default"/>
          <w:sz w:val="21"/>
        </w:rPr>
      </w:pPr>
      <w:r>
        <w:rPr>
          <w:rFonts w:hint="eastAsia"/>
          <w:sz w:val="21"/>
        </w:rPr>
        <w:t>表示単位未満の金額は四捨五入とし、一部合計値と不一致があります。</w:t>
      </w:r>
    </w:p>
    <w:p>
      <w:pPr>
        <w:pStyle w:val="0"/>
        <w:spacing w:line="340" w:lineRule="exact"/>
        <w:rPr>
          <w:rFonts w:hint="default"/>
        </w:rPr>
      </w:pPr>
    </w:p>
    <w:p>
      <w:pPr>
        <w:pStyle w:val="15"/>
        <w:spacing w:line="340" w:lineRule="exact"/>
        <w:rPr>
          <w:rFonts w:hint="default"/>
          <w:sz w:val="21"/>
        </w:rPr>
      </w:pPr>
      <w:r>
        <w:rPr>
          <w:rFonts w:hint="eastAsia"/>
          <w:sz w:val="21"/>
        </w:rPr>
        <w:t>（５）売却可能資産に係る資産科目別の金額及びその範囲</w:t>
      </w:r>
    </w:p>
    <w:p>
      <w:pPr>
        <w:pStyle w:val="15"/>
        <w:spacing w:line="340" w:lineRule="exact"/>
        <w:ind w:firstLine="210" w:firstLineChars="100"/>
        <w:rPr>
          <w:rFonts w:hint="default"/>
          <w:sz w:val="21"/>
        </w:rPr>
      </w:pPr>
      <w:r>
        <w:rPr>
          <w:rFonts w:hint="eastAsia"/>
          <w:sz w:val="21"/>
        </w:rPr>
        <w:t>なし</w:t>
      </w:r>
    </w:p>
    <w:p>
      <w:pPr>
        <w:pStyle w:val="15"/>
        <w:spacing w:line="340" w:lineRule="exact"/>
        <w:rPr>
          <w:rFonts w:hint="default"/>
          <w:sz w:val="21"/>
        </w:rPr>
      </w:pPr>
    </w:p>
    <w:p>
      <w:pPr>
        <w:pStyle w:val="15"/>
        <w:spacing w:line="340" w:lineRule="exact"/>
        <w:rPr>
          <w:rFonts w:hint="default"/>
          <w:sz w:val="21"/>
        </w:rPr>
      </w:pPr>
      <w:r>
        <w:rPr>
          <w:rFonts w:hint="eastAsia"/>
          <w:sz w:val="21"/>
        </w:rPr>
        <w:t>（６）減債基金に係る積立不足の有無及び不足額</w:t>
      </w:r>
    </w:p>
    <w:p>
      <w:pPr>
        <w:pStyle w:val="15"/>
        <w:spacing w:line="340" w:lineRule="exact"/>
        <w:ind w:firstLine="210" w:firstLineChars="100"/>
        <w:rPr>
          <w:rFonts w:hint="default"/>
          <w:sz w:val="21"/>
        </w:rPr>
      </w:pPr>
      <w:r>
        <w:rPr>
          <w:rFonts w:hint="eastAsia"/>
          <w:sz w:val="21"/>
        </w:rPr>
        <w:t>なし</w:t>
      </w:r>
    </w:p>
    <w:p>
      <w:pPr>
        <w:pStyle w:val="15"/>
        <w:spacing w:line="340" w:lineRule="exact"/>
        <w:ind w:firstLine="210" w:firstLineChars="100"/>
        <w:rPr>
          <w:rFonts w:hint="default"/>
          <w:sz w:val="21"/>
        </w:rPr>
      </w:pPr>
    </w:p>
    <w:p>
      <w:pPr>
        <w:pStyle w:val="15"/>
        <w:spacing w:line="340" w:lineRule="exact"/>
        <w:rPr>
          <w:rFonts w:hint="default"/>
          <w:sz w:val="21"/>
        </w:rPr>
      </w:pPr>
      <w:r>
        <w:rPr>
          <w:rFonts w:hint="eastAsia"/>
          <w:sz w:val="21"/>
        </w:rPr>
        <w:t>（７）自治法第２３４条の３に基づく長期継続契約で貸借対照表に計上されたリース</w:t>
      </w:r>
    </w:p>
    <w:p>
      <w:pPr>
        <w:pStyle w:val="0"/>
        <w:spacing w:line="340" w:lineRule="exact"/>
        <w:ind w:firstLine="420" w:firstLineChars="200"/>
        <w:rPr>
          <w:rFonts w:hint="default"/>
        </w:rPr>
      </w:pPr>
      <w:r>
        <w:rPr>
          <w:rFonts w:hint="eastAsia"/>
        </w:rPr>
        <w:t>債務金額　なし</w:t>
      </w:r>
    </w:p>
    <w:p>
      <w:pPr>
        <w:pStyle w:val="0"/>
        <w:widowControl w:val="1"/>
        <w:jc w:val="left"/>
        <w:rPr>
          <w:rFonts w:hint="default"/>
        </w:rPr>
      </w:pPr>
      <w:r>
        <w:rPr>
          <w:rFonts w:hint="default"/>
        </w:rPr>
        <w:br w:type="page"/>
      </w:r>
    </w:p>
    <w:p>
      <w:pPr>
        <w:pStyle w:val="15"/>
        <w:spacing w:line="340" w:lineRule="exact"/>
        <w:jc w:val="center"/>
        <w:rPr>
          <w:rFonts w:hint="default"/>
          <w:sz w:val="21"/>
        </w:rPr>
      </w:pPr>
      <w:r>
        <w:rPr>
          <w:rFonts w:hint="eastAsia"/>
          <w:sz w:val="21"/>
        </w:rPr>
        <w:t>連結会計財務書類に係る注記</w:t>
      </w:r>
    </w:p>
    <w:p>
      <w:pPr>
        <w:pStyle w:val="15"/>
        <w:spacing w:line="340" w:lineRule="exact"/>
        <w:rPr>
          <w:rFonts w:hint="default"/>
          <w:sz w:val="21"/>
        </w:rPr>
      </w:pPr>
    </w:p>
    <w:p>
      <w:pPr>
        <w:pStyle w:val="15"/>
        <w:spacing w:line="340" w:lineRule="exact"/>
        <w:rPr>
          <w:rFonts w:hint="default"/>
          <w:sz w:val="21"/>
        </w:rPr>
      </w:pPr>
      <w:r>
        <w:rPr>
          <w:rFonts w:hint="eastAsia"/>
          <w:sz w:val="21"/>
        </w:rPr>
        <w:t>１．重要な会計方針</w:t>
      </w:r>
    </w:p>
    <w:p>
      <w:pPr>
        <w:pStyle w:val="15"/>
        <w:spacing w:line="340" w:lineRule="exact"/>
        <w:rPr>
          <w:rFonts w:hint="default"/>
          <w:sz w:val="21"/>
        </w:rPr>
      </w:pPr>
      <w:r>
        <w:rPr>
          <w:rFonts w:hint="eastAsia"/>
          <w:sz w:val="21"/>
        </w:rPr>
        <w:t>（１）</w:t>
      </w:r>
      <w:r>
        <w:rPr>
          <w:rFonts w:hint="default"/>
          <w:sz w:val="21"/>
        </w:rPr>
        <w:t xml:space="preserve"> </w:t>
      </w:r>
      <w:r>
        <w:rPr>
          <w:rFonts w:hint="eastAsia"/>
          <w:sz w:val="21"/>
        </w:rPr>
        <w:t>有形固定資産等の評価基準及び評価方法</w:t>
      </w:r>
    </w:p>
    <w:p>
      <w:pPr>
        <w:pStyle w:val="15"/>
        <w:spacing w:line="340" w:lineRule="exact"/>
        <w:ind w:firstLine="210" w:firstLineChars="100"/>
        <w:rPr>
          <w:rFonts w:hint="default"/>
          <w:sz w:val="21"/>
        </w:rPr>
      </w:pPr>
      <w:r>
        <w:rPr>
          <w:rFonts w:hint="eastAsia"/>
          <w:sz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（２）</w:t>
      </w:r>
      <w:r>
        <w:rPr>
          <w:rFonts w:hint="default"/>
          <w:sz w:val="21"/>
        </w:rPr>
        <w:t xml:space="preserve"> </w:t>
      </w:r>
      <w:r>
        <w:rPr>
          <w:rFonts w:hint="eastAsia"/>
          <w:sz w:val="21"/>
        </w:rPr>
        <w:t>有価証券等の評価基準及び評価方法</w:t>
      </w:r>
    </w:p>
    <w:p>
      <w:pPr>
        <w:pStyle w:val="15"/>
        <w:spacing w:line="340" w:lineRule="exact"/>
        <w:ind w:firstLine="210" w:firstLineChars="100"/>
        <w:rPr>
          <w:rFonts w:hint="default"/>
          <w:sz w:val="21"/>
        </w:rPr>
      </w:pPr>
      <w:r>
        <w:rPr>
          <w:rFonts w:hint="eastAsia"/>
          <w:sz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hint="default" w:ascii="Century" w:hAnsi="Century"/>
          <w:sz w:val="21"/>
        </w:rPr>
        <w:t>30%</w:t>
      </w:r>
      <w:r>
        <w:rPr>
          <w:rFonts w:hint="eastAsia"/>
          <w:sz w:val="21"/>
        </w:rPr>
        <w:t>以上である場合には、「著しく低下したとき」に該当するものとしております。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（３）</w:t>
      </w:r>
      <w:r>
        <w:rPr>
          <w:rFonts w:hint="default"/>
          <w:sz w:val="21"/>
        </w:rPr>
        <w:t xml:space="preserve"> </w:t>
      </w:r>
      <w:r>
        <w:rPr>
          <w:rFonts w:hint="eastAsia"/>
          <w:sz w:val="21"/>
        </w:rPr>
        <w:t>有形固定資産等の減価償却の方法</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有形固定資産（事業用資産、インフラ資産）</w:t>
      </w:r>
    </w:p>
    <w:p>
      <w:pPr>
        <w:pStyle w:val="15"/>
        <w:spacing w:line="340" w:lineRule="exact"/>
        <w:ind w:firstLine="210" w:firstLineChars="100"/>
        <w:rPr>
          <w:rFonts w:hint="default"/>
          <w:sz w:val="21"/>
        </w:rPr>
      </w:pPr>
      <w:r>
        <w:rPr>
          <w:rFonts w:hint="eastAsia"/>
          <w:sz w:val="21"/>
        </w:rPr>
        <w:t>定額法を採用しております。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無形固定資産</w:t>
      </w:r>
    </w:p>
    <w:p>
      <w:pPr>
        <w:pStyle w:val="15"/>
        <w:spacing w:line="340" w:lineRule="exact"/>
        <w:ind w:firstLine="210" w:firstLineChars="100"/>
        <w:rPr>
          <w:rFonts w:hint="default"/>
          <w:sz w:val="21"/>
        </w:rPr>
      </w:pPr>
      <w:r>
        <w:rPr>
          <w:rFonts w:hint="eastAsia"/>
          <w:sz w:val="21"/>
        </w:rPr>
        <w:t>定額法を採用しております。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引当金の計上基準及び算定方法</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退職給付引当金</w:t>
      </w:r>
    </w:p>
    <w:p>
      <w:pPr>
        <w:pStyle w:val="15"/>
        <w:spacing w:line="340" w:lineRule="exact"/>
        <w:ind w:firstLine="210" w:firstLineChars="100"/>
        <w:rPr>
          <w:rFonts w:hint="default"/>
          <w:sz w:val="21"/>
        </w:rPr>
      </w:pPr>
      <w:r>
        <w:rPr>
          <w:rFonts w:hint="eastAsia"/>
          <w:sz w:val="21"/>
        </w:rPr>
        <w:t>地方公共団体財政健全化法における退職手当支給額に係る負担見込額算定方法に従っております。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（５）</w:t>
      </w:r>
      <w:r>
        <w:rPr>
          <w:rFonts w:hint="default"/>
          <w:sz w:val="21"/>
        </w:rPr>
        <w:t xml:space="preserve"> </w:t>
      </w:r>
      <w:r>
        <w:rPr>
          <w:rFonts w:hint="eastAsia"/>
          <w:sz w:val="21"/>
        </w:rPr>
        <w:t>リース取引の処理方法</w:t>
      </w:r>
    </w:p>
    <w:p>
      <w:pPr>
        <w:pStyle w:val="15"/>
        <w:spacing w:line="340" w:lineRule="exact"/>
        <w:ind w:firstLine="210" w:firstLineChars="100"/>
        <w:rPr>
          <w:rFonts w:hint="default"/>
          <w:sz w:val="21"/>
        </w:rPr>
      </w:pPr>
      <w:r>
        <w:rPr>
          <w:rFonts w:hint="eastAsia"/>
          <w:sz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pPr>
        <w:pStyle w:val="15"/>
        <w:spacing w:line="340" w:lineRule="exact"/>
        <w:rPr>
          <w:rFonts w:hint="default"/>
          <w:sz w:val="21"/>
        </w:rPr>
      </w:pPr>
    </w:p>
    <w:p>
      <w:pPr>
        <w:pStyle w:val="15"/>
        <w:spacing w:line="340" w:lineRule="exact"/>
        <w:rPr>
          <w:rFonts w:hint="default"/>
          <w:sz w:val="21"/>
        </w:rPr>
      </w:pPr>
      <w:r>
        <w:rPr>
          <w:rFonts w:hint="eastAsia"/>
          <w:sz w:val="21"/>
        </w:rPr>
        <w:t>（６）</w:t>
      </w:r>
      <w:r>
        <w:rPr>
          <w:rFonts w:hint="default"/>
          <w:sz w:val="21"/>
        </w:rPr>
        <w:t xml:space="preserve"> </w:t>
      </w:r>
      <w:r>
        <w:rPr>
          <w:rFonts w:hint="eastAsia"/>
          <w:sz w:val="21"/>
        </w:rPr>
        <w:t>資金収支計算書における資金の範囲</w:t>
      </w:r>
    </w:p>
    <w:p>
      <w:pPr>
        <w:pStyle w:val="15"/>
        <w:spacing w:line="340" w:lineRule="exact"/>
        <w:ind w:firstLine="210" w:firstLineChars="100"/>
        <w:rPr>
          <w:rFonts w:hint="default"/>
          <w:sz w:val="21"/>
        </w:rPr>
      </w:pPr>
      <w:r>
        <w:rPr>
          <w:rFonts w:hint="eastAsia"/>
          <w:sz w:val="21"/>
        </w:rPr>
        <w:t>現金（手許現金及び要求払預金）及び現金同等物（</w:t>
      </w:r>
      <w:r>
        <w:rPr>
          <w:rFonts w:hint="default" w:ascii="Century" w:hAnsi="Century"/>
          <w:sz w:val="21"/>
        </w:rPr>
        <w:t>3</w:t>
      </w:r>
      <w:r>
        <w:rPr>
          <w:rFonts w:hint="eastAsia"/>
          <w:sz w:val="21"/>
        </w:rPr>
        <w:t>ヶ月以内の短期投資等）を資金の範囲としております。このうち現金同等物は、短期投資の他、出納整理期間中の取引により発生する資金の受払いも含んでおります。</w:t>
      </w:r>
    </w:p>
    <w:p>
      <w:pPr>
        <w:pStyle w:val="15"/>
        <w:spacing w:line="340" w:lineRule="exact"/>
        <w:rPr>
          <w:rFonts w:hint="default"/>
          <w:sz w:val="21"/>
        </w:rPr>
      </w:pPr>
    </w:p>
    <w:p>
      <w:pPr>
        <w:pStyle w:val="15"/>
        <w:spacing w:line="340" w:lineRule="exact"/>
        <w:rPr>
          <w:rFonts w:hint="default"/>
          <w:sz w:val="21"/>
        </w:rPr>
      </w:pPr>
    </w:p>
    <w:p>
      <w:pPr>
        <w:pStyle w:val="15"/>
        <w:spacing w:line="340" w:lineRule="exact"/>
        <w:rPr>
          <w:rFonts w:hint="default"/>
          <w:sz w:val="21"/>
        </w:rPr>
      </w:pPr>
      <w:r>
        <w:rPr>
          <w:rFonts w:hint="eastAsia"/>
          <w:sz w:val="21"/>
        </w:rPr>
        <w:t>（７）</w:t>
      </w:r>
      <w:r>
        <w:rPr>
          <w:rFonts w:hint="default"/>
          <w:sz w:val="21"/>
        </w:rPr>
        <w:t xml:space="preserve"> </w:t>
      </w:r>
      <w:r>
        <w:rPr>
          <w:rFonts w:hint="eastAsia"/>
          <w:sz w:val="21"/>
        </w:rPr>
        <w:t>その他財務書類作成のための基本となる重要な事項</w:t>
      </w:r>
    </w:p>
    <w:p>
      <w:pPr>
        <w:pStyle w:val="15"/>
        <w:spacing w:line="340" w:lineRule="exact"/>
        <w:rPr>
          <w:rFonts w:hint="default"/>
          <w:sz w:val="21"/>
        </w:rPr>
      </w:pPr>
      <w:r>
        <w:rPr>
          <w:rFonts w:hint="eastAsia"/>
          <w:sz w:val="21"/>
        </w:rPr>
        <w:t>①</w:t>
      </w:r>
      <w:r>
        <w:rPr>
          <w:rFonts w:hint="default"/>
          <w:sz w:val="21"/>
        </w:rPr>
        <w:t xml:space="preserve"> </w:t>
      </w:r>
      <w:r>
        <w:rPr>
          <w:rFonts w:hint="eastAsia"/>
          <w:sz w:val="21"/>
        </w:rPr>
        <w:t>消費税等の会計処理</w:t>
      </w:r>
    </w:p>
    <w:p>
      <w:pPr>
        <w:pStyle w:val="15"/>
        <w:spacing w:line="340" w:lineRule="exact"/>
        <w:ind w:firstLine="210" w:firstLineChars="100"/>
        <w:rPr>
          <w:rFonts w:hint="default"/>
          <w:sz w:val="21"/>
        </w:rPr>
      </w:pPr>
      <w:r>
        <w:rPr>
          <w:rFonts w:hint="eastAsia"/>
          <w:sz w:val="21"/>
        </w:rPr>
        <w:t>税込方式によっております。</w:t>
      </w:r>
    </w:p>
    <w:p>
      <w:pPr>
        <w:pStyle w:val="15"/>
        <w:spacing w:line="340" w:lineRule="exact"/>
        <w:rPr>
          <w:rFonts w:hint="default"/>
          <w:sz w:val="21"/>
        </w:rPr>
      </w:pPr>
      <w:r>
        <w:rPr>
          <w:rFonts w:hint="eastAsia"/>
          <w:sz w:val="21"/>
        </w:rPr>
        <w:t>②</w:t>
      </w:r>
      <w:r>
        <w:rPr>
          <w:rFonts w:hint="default"/>
          <w:sz w:val="21"/>
        </w:rPr>
        <w:t xml:space="preserve"> </w:t>
      </w:r>
      <w:r>
        <w:rPr>
          <w:rFonts w:hint="eastAsia"/>
          <w:sz w:val="21"/>
        </w:rPr>
        <w:t>物品及びソフトウェアの計上基準</w:t>
      </w:r>
    </w:p>
    <w:p>
      <w:pPr>
        <w:pStyle w:val="15"/>
        <w:spacing w:line="340" w:lineRule="exact"/>
        <w:ind w:firstLine="210" w:firstLineChars="100"/>
        <w:rPr>
          <w:rFonts w:hint="default"/>
          <w:sz w:val="21"/>
        </w:rPr>
      </w:pPr>
      <w:r>
        <w:rPr>
          <w:rFonts w:hint="eastAsia"/>
          <w:sz w:val="21"/>
        </w:rPr>
        <w:t>物品については、取得価額又は見積価格が</w:t>
      </w:r>
      <w:r>
        <w:rPr>
          <w:rFonts w:hint="default" w:ascii="Century" w:hAnsi="Century"/>
          <w:sz w:val="21"/>
        </w:rPr>
        <w:t xml:space="preserve">50 </w:t>
      </w:r>
      <w:r>
        <w:rPr>
          <w:rFonts w:hint="eastAsia"/>
          <w:sz w:val="21"/>
        </w:rPr>
        <w:t>万円（美術品は</w:t>
      </w:r>
      <w:r>
        <w:rPr>
          <w:rFonts w:hint="default" w:ascii="Century" w:hAnsi="Century"/>
          <w:sz w:val="21"/>
        </w:rPr>
        <w:t xml:space="preserve">300 </w:t>
      </w:r>
      <w:r>
        <w:rPr>
          <w:rFonts w:hint="eastAsia"/>
          <w:sz w:val="21"/>
        </w:rPr>
        <w:t>万円）以上の場合に資産として計上しています。ソフトウェアについても物品の取扱いに準じています。</w:t>
      </w:r>
    </w:p>
    <w:p>
      <w:pPr>
        <w:pStyle w:val="15"/>
        <w:spacing w:line="340" w:lineRule="exact"/>
        <w:rPr>
          <w:rFonts w:hint="default"/>
          <w:sz w:val="21"/>
        </w:rPr>
      </w:pPr>
    </w:p>
    <w:p>
      <w:pPr>
        <w:pStyle w:val="15"/>
        <w:spacing w:line="340" w:lineRule="exact"/>
        <w:rPr>
          <w:rFonts w:hint="default"/>
          <w:sz w:val="21"/>
        </w:rPr>
      </w:pPr>
      <w:r>
        <w:rPr>
          <w:rFonts w:hint="eastAsia"/>
          <w:sz w:val="21"/>
        </w:rPr>
        <w:t>２．重要な会計方針の変更等</w:t>
      </w:r>
    </w:p>
    <w:p>
      <w:pPr>
        <w:pStyle w:val="15"/>
        <w:spacing w:line="340" w:lineRule="exact"/>
        <w:rPr>
          <w:rFonts w:hint="default"/>
          <w:sz w:val="21"/>
        </w:rPr>
      </w:pPr>
      <w:r>
        <w:rPr>
          <w:rFonts w:hint="eastAsia"/>
          <w:sz w:val="21"/>
        </w:rPr>
        <w:t>（１）会計処理の原則</w:t>
      </w:r>
    </w:p>
    <w:p>
      <w:pPr>
        <w:pStyle w:val="15"/>
        <w:spacing w:line="340" w:lineRule="exact"/>
        <w:ind w:firstLine="210" w:firstLineChars="100"/>
        <w:rPr>
          <w:rFonts w:hint="default"/>
          <w:sz w:val="21"/>
        </w:rPr>
      </w:pPr>
      <w:r>
        <w:rPr>
          <w:rFonts w:hint="eastAsia"/>
          <w:sz w:val="21"/>
        </w:rPr>
        <w:t>総務省「新地方公会計制度研究会」報告に基づき、「新統一的な基準」への移行を行っております。これに伴い、固定資産台帳の作成に基づく、固定資産の表示等を行っています。</w:t>
      </w:r>
    </w:p>
    <w:p>
      <w:pPr>
        <w:pStyle w:val="15"/>
        <w:spacing w:line="340" w:lineRule="exact"/>
        <w:rPr>
          <w:rFonts w:hint="default"/>
          <w:sz w:val="21"/>
        </w:rPr>
      </w:pPr>
    </w:p>
    <w:p>
      <w:pPr>
        <w:pStyle w:val="15"/>
        <w:spacing w:line="340" w:lineRule="exact"/>
        <w:rPr>
          <w:rFonts w:hint="default"/>
          <w:sz w:val="21"/>
        </w:rPr>
      </w:pPr>
      <w:r>
        <w:rPr>
          <w:rFonts w:hint="eastAsia"/>
          <w:sz w:val="21"/>
        </w:rPr>
        <w:t>３．重要な後発事象</w:t>
      </w:r>
    </w:p>
    <w:p>
      <w:pPr>
        <w:pStyle w:val="15"/>
        <w:spacing w:line="340" w:lineRule="exact"/>
        <w:rPr>
          <w:rFonts w:hint="default"/>
          <w:sz w:val="21"/>
        </w:rPr>
      </w:pPr>
      <w:r>
        <w:rPr>
          <w:rFonts w:hint="eastAsia"/>
          <w:sz w:val="21"/>
        </w:rPr>
        <w:t>（１）主要な業務の改廃</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（２）地方財政制度の大幅な改正</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（３）組織・機構の大幅な変更</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（４）重大な災害等の発生</w:t>
      </w:r>
    </w:p>
    <w:p>
      <w:pPr>
        <w:pStyle w:val="15"/>
        <w:spacing w:line="340" w:lineRule="exact"/>
        <w:ind w:firstLine="210" w:firstLineChars="100"/>
        <w:rPr>
          <w:rFonts w:hint="default"/>
          <w:sz w:val="21"/>
        </w:rPr>
      </w:pPr>
      <w:r>
        <w:rPr>
          <w:rFonts w:hint="eastAsia"/>
          <w:sz w:val="21"/>
        </w:rPr>
        <w:t>特になし</w:t>
      </w:r>
    </w:p>
    <w:p>
      <w:pPr>
        <w:pStyle w:val="15"/>
        <w:spacing w:line="340" w:lineRule="exact"/>
        <w:ind w:firstLine="210" w:firstLineChars="100"/>
        <w:rPr>
          <w:rFonts w:hint="default"/>
          <w:sz w:val="21"/>
        </w:rPr>
      </w:pPr>
    </w:p>
    <w:p>
      <w:pPr>
        <w:pStyle w:val="15"/>
        <w:spacing w:line="340" w:lineRule="exact"/>
        <w:rPr>
          <w:rFonts w:hint="default"/>
          <w:sz w:val="21"/>
        </w:rPr>
      </w:pPr>
      <w:r>
        <w:rPr>
          <w:rFonts w:hint="eastAsia"/>
          <w:sz w:val="21"/>
        </w:rPr>
        <w:t>（５）その他重要な後発事象</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偶発債務</w:t>
      </w:r>
    </w:p>
    <w:p>
      <w:pPr>
        <w:pStyle w:val="15"/>
        <w:spacing w:line="340" w:lineRule="exact"/>
        <w:rPr>
          <w:rFonts w:hint="default"/>
          <w:sz w:val="21"/>
        </w:rPr>
      </w:pPr>
      <w:r>
        <w:rPr>
          <w:rFonts w:hint="eastAsia"/>
          <w:sz w:val="21"/>
        </w:rPr>
        <w:t>（１）保証債務及び損失補償債務負担の状況</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（２）係争中の訴訟等で損害賠償等の請求を受けているもの</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r>
        <w:rPr>
          <w:rFonts w:hint="eastAsia"/>
          <w:sz w:val="21"/>
        </w:rPr>
        <w:t>（３）その他主要な偶発債務</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p>
    <w:p>
      <w:pPr>
        <w:pStyle w:val="15"/>
        <w:spacing w:line="340" w:lineRule="exact"/>
        <w:rPr>
          <w:rFonts w:hint="default"/>
          <w:sz w:val="21"/>
        </w:rPr>
      </w:pPr>
    </w:p>
    <w:p>
      <w:pPr>
        <w:pStyle w:val="15"/>
        <w:spacing w:line="340" w:lineRule="exact"/>
        <w:rPr>
          <w:rFonts w:hint="default"/>
          <w:sz w:val="21"/>
        </w:rPr>
      </w:pPr>
      <w:r>
        <w:rPr>
          <w:rFonts w:hint="eastAsia"/>
          <w:sz w:val="21"/>
        </w:rPr>
        <w:t>５．追加情報</w:t>
      </w:r>
    </w:p>
    <w:p>
      <w:pPr>
        <w:pStyle w:val="15"/>
        <w:spacing w:line="340" w:lineRule="exact"/>
        <w:rPr>
          <w:rFonts w:hint="default"/>
          <w:sz w:val="21"/>
        </w:rPr>
      </w:pPr>
      <w:r>
        <w:rPr>
          <w:rFonts w:hint="eastAsia"/>
          <w:sz w:val="21"/>
        </w:rPr>
        <w:t>（１）</w:t>
      </w:r>
      <w:r>
        <w:rPr>
          <w:rFonts w:hint="default"/>
          <w:sz w:val="21"/>
        </w:rPr>
        <w:t xml:space="preserve"> </w:t>
      </w:r>
      <w:r>
        <w:rPr>
          <w:rFonts w:hint="eastAsia"/>
          <w:sz w:val="21"/>
        </w:rPr>
        <w:t>対象範囲（対象とする会計名）</w:t>
      </w:r>
    </w:p>
    <w:p>
      <w:pPr>
        <w:pStyle w:val="15"/>
        <w:spacing w:after="119" w:afterLines="0" w:afterAutospacing="0" w:line="340" w:lineRule="exact"/>
        <w:ind w:firstLine="210" w:firstLineChars="100"/>
        <w:rPr>
          <w:rFonts w:hint="default"/>
          <w:sz w:val="21"/>
        </w:rPr>
      </w:pPr>
      <w:r>
        <w:rPr>
          <w:rFonts w:hint="eastAsia"/>
          <w:sz w:val="21"/>
        </w:rPr>
        <w:t>①</w:t>
      </w:r>
      <w:r>
        <w:rPr>
          <w:rFonts w:hint="default"/>
          <w:sz w:val="21"/>
        </w:rPr>
        <w:t xml:space="preserve"> </w:t>
      </w:r>
      <w:r>
        <w:rPr>
          <w:rFonts w:hint="eastAsia"/>
          <w:sz w:val="21"/>
        </w:rPr>
        <w:t>一般会計</w:t>
      </w:r>
    </w:p>
    <w:p>
      <w:pPr>
        <w:pStyle w:val="15"/>
        <w:spacing w:after="119" w:afterLines="0" w:afterAutospacing="0" w:line="340" w:lineRule="exact"/>
        <w:ind w:firstLine="210" w:firstLineChars="100"/>
        <w:rPr>
          <w:rFonts w:hint="default"/>
          <w:sz w:val="21"/>
        </w:rPr>
      </w:pPr>
      <w:r>
        <w:rPr>
          <w:rFonts w:hint="eastAsia"/>
          <w:sz w:val="21"/>
        </w:rPr>
        <w:t>②今宿東土地区画整理事業特別会計</w:t>
      </w:r>
    </w:p>
    <w:p>
      <w:pPr>
        <w:pStyle w:val="15"/>
        <w:spacing w:after="119" w:afterLines="0" w:afterAutospacing="0" w:line="340" w:lineRule="exact"/>
        <w:ind w:firstLine="210" w:firstLineChars="100"/>
        <w:rPr>
          <w:rFonts w:hint="default"/>
          <w:sz w:val="21"/>
        </w:rPr>
      </w:pPr>
      <w:r>
        <w:rPr>
          <w:rFonts w:hint="eastAsia"/>
          <w:sz w:val="21"/>
        </w:rPr>
        <w:t>③国民健康保険特別会計</w:t>
      </w:r>
    </w:p>
    <w:p>
      <w:pPr>
        <w:pStyle w:val="15"/>
        <w:spacing w:after="119" w:afterLines="0" w:afterAutospacing="0" w:line="340" w:lineRule="exact"/>
        <w:ind w:firstLine="210" w:firstLineChars="100"/>
        <w:rPr>
          <w:rFonts w:hint="default"/>
          <w:sz w:val="21"/>
        </w:rPr>
      </w:pPr>
      <w:r>
        <w:rPr>
          <w:rFonts w:hint="eastAsia"/>
          <w:sz w:val="21"/>
        </w:rPr>
        <w:t>④農業集落排水事業特別会計</w:t>
      </w:r>
    </w:p>
    <w:p>
      <w:pPr>
        <w:pStyle w:val="15"/>
        <w:spacing w:after="119" w:afterLines="0" w:afterAutospacing="0" w:line="340" w:lineRule="exact"/>
        <w:ind w:firstLine="210" w:firstLineChars="100"/>
        <w:rPr>
          <w:rFonts w:hint="default"/>
          <w:sz w:val="21"/>
        </w:rPr>
      </w:pPr>
      <w:r>
        <w:rPr>
          <w:rFonts w:hint="eastAsia"/>
          <w:sz w:val="21"/>
        </w:rPr>
        <w:t>⑤介護保険特別会計</w:t>
      </w:r>
    </w:p>
    <w:p>
      <w:pPr>
        <w:pStyle w:val="15"/>
        <w:spacing w:after="119" w:afterLines="0" w:afterAutospacing="0" w:line="340" w:lineRule="exact"/>
        <w:ind w:firstLine="210" w:firstLineChars="100"/>
        <w:rPr>
          <w:rFonts w:hint="default"/>
          <w:sz w:val="21"/>
        </w:rPr>
      </w:pPr>
      <w:r>
        <w:rPr>
          <w:rFonts w:hint="eastAsia"/>
          <w:sz w:val="21"/>
        </w:rPr>
        <w:t>⑥浄化槽設置管理事業特別会計</w:t>
      </w:r>
    </w:p>
    <w:p>
      <w:pPr>
        <w:pStyle w:val="15"/>
        <w:spacing w:after="119" w:afterLines="0" w:afterAutospacing="0" w:line="340" w:lineRule="exact"/>
        <w:ind w:firstLine="210" w:firstLineChars="100"/>
        <w:rPr>
          <w:rFonts w:hint="default"/>
          <w:sz w:val="21"/>
        </w:rPr>
      </w:pPr>
      <w:r>
        <w:rPr>
          <w:rFonts w:hint="eastAsia"/>
          <w:sz w:val="21"/>
        </w:rPr>
        <w:t>⑦後期高齢者医療特別会計</w:t>
      </w:r>
    </w:p>
    <w:p>
      <w:pPr>
        <w:pStyle w:val="15"/>
        <w:spacing w:after="119" w:afterLines="0" w:afterAutospacing="0" w:line="340" w:lineRule="exact"/>
        <w:ind w:firstLine="210" w:firstLineChars="100"/>
        <w:rPr>
          <w:rFonts w:hint="default"/>
          <w:sz w:val="21"/>
        </w:rPr>
      </w:pPr>
      <w:r>
        <w:rPr>
          <w:rFonts w:hint="eastAsia"/>
          <w:sz w:val="21"/>
        </w:rPr>
        <w:t>⑧水道事業会計</w:t>
      </w:r>
    </w:p>
    <w:p>
      <w:pPr>
        <w:pStyle w:val="15"/>
        <w:spacing w:after="119" w:afterLines="0" w:afterAutospacing="0" w:line="340" w:lineRule="exact"/>
        <w:ind w:firstLine="210" w:firstLineChars="100"/>
        <w:rPr>
          <w:rFonts w:hint="default"/>
          <w:sz w:val="21"/>
        </w:rPr>
      </w:pPr>
      <w:r>
        <w:rPr>
          <w:rFonts w:hint="eastAsia"/>
          <w:sz w:val="21"/>
        </w:rPr>
        <w:t>⑨下水道事業会計</w:t>
      </w:r>
    </w:p>
    <w:p>
      <w:pPr>
        <w:pStyle w:val="15"/>
        <w:spacing w:after="119" w:afterLines="0" w:afterAutospacing="0" w:line="340" w:lineRule="exact"/>
        <w:ind w:firstLine="210" w:firstLineChars="100"/>
        <w:rPr>
          <w:rFonts w:hint="default"/>
          <w:sz w:val="21"/>
        </w:rPr>
      </w:pPr>
      <w:r>
        <w:rPr>
          <w:rFonts w:hint="eastAsia"/>
          <w:sz w:val="21"/>
        </w:rPr>
        <w:t>⑩埼玉県後期高齢者医療広域連合</w:t>
      </w:r>
    </w:p>
    <w:p>
      <w:pPr>
        <w:pStyle w:val="15"/>
        <w:spacing w:after="119" w:afterLines="0" w:afterAutospacing="0" w:line="340" w:lineRule="exact"/>
        <w:ind w:firstLine="210" w:firstLineChars="100"/>
        <w:rPr>
          <w:rFonts w:hint="default"/>
          <w:sz w:val="21"/>
        </w:rPr>
      </w:pPr>
      <w:r>
        <w:rPr>
          <w:rFonts w:hint="eastAsia"/>
          <w:sz w:val="21"/>
        </w:rPr>
        <w:t>⑪彩の国さいたま人づくり広域連合</w:t>
      </w:r>
    </w:p>
    <w:p>
      <w:pPr>
        <w:pStyle w:val="15"/>
        <w:spacing w:after="119" w:afterLines="0" w:afterAutospacing="0" w:line="340" w:lineRule="exact"/>
        <w:ind w:firstLine="210" w:firstLineChars="100"/>
        <w:rPr>
          <w:rFonts w:hint="default"/>
          <w:sz w:val="21"/>
        </w:rPr>
      </w:pPr>
      <w:r>
        <w:rPr>
          <w:rFonts w:hint="eastAsia"/>
          <w:sz w:val="21"/>
        </w:rPr>
        <w:t>⑫埼玉県市町村総合事務組合（比例連結）</w:t>
      </w:r>
    </w:p>
    <w:p>
      <w:pPr>
        <w:pStyle w:val="15"/>
        <w:spacing w:after="119" w:afterLines="0" w:afterAutospacing="0" w:line="340" w:lineRule="exact"/>
        <w:ind w:firstLine="210" w:firstLineChars="100"/>
        <w:rPr>
          <w:rFonts w:hint="default"/>
          <w:sz w:val="21"/>
        </w:rPr>
      </w:pPr>
      <w:r>
        <w:rPr>
          <w:rFonts w:hint="eastAsia"/>
          <w:sz w:val="21"/>
        </w:rPr>
        <w:t>⑬埼玉西部環境保全事務組合（比例連結）</w:t>
      </w:r>
    </w:p>
    <w:p>
      <w:pPr>
        <w:pStyle w:val="15"/>
        <w:spacing w:after="119" w:afterLines="0" w:afterAutospacing="0" w:line="340" w:lineRule="exact"/>
        <w:ind w:firstLine="210" w:firstLineChars="100"/>
        <w:rPr>
          <w:rFonts w:hint="default"/>
          <w:sz w:val="21"/>
        </w:rPr>
      </w:pPr>
      <w:r>
        <w:rPr>
          <w:rFonts w:hint="eastAsia"/>
          <w:sz w:val="21"/>
        </w:rPr>
        <w:t>⑭坂戸地区衛生組合（比例連結）</w:t>
      </w:r>
    </w:p>
    <w:p>
      <w:pPr>
        <w:pStyle w:val="15"/>
        <w:spacing w:after="119" w:afterLines="0" w:afterAutospacing="0" w:line="340" w:lineRule="exact"/>
        <w:ind w:firstLine="210" w:firstLineChars="100"/>
        <w:rPr>
          <w:rFonts w:hint="default"/>
          <w:sz w:val="21"/>
        </w:rPr>
      </w:pPr>
      <w:r>
        <w:rPr>
          <w:rFonts w:hint="eastAsia"/>
          <w:sz w:val="21"/>
        </w:rPr>
        <w:t>⑮西入間広域消防組合（比例連結）</w:t>
      </w:r>
    </w:p>
    <w:p>
      <w:pPr>
        <w:pStyle w:val="15"/>
        <w:spacing w:after="119" w:afterLines="0" w:afterAutospacing="0" w:line="340" w:lineRule="exact"/>
        <w:ind w:firstLine="210" w:firstLineChars="100"/>
        <w:rPr>
          <w:rFonts w:hint="default"/>
          <w:sz w:val="21"/>
        </w:rPr>
      </w:pPr>
      <w:r>
        <w:rPr>
          <w:rFonts w:hint="eastAsia"/>
          <w:sz w:val="21"/>
        </w:rPr>
        <w:t>⑯広域静苑組合（比例連結）</w:t>
      </w:r>
    </w:p>
    <w:p>
      <w:pPr>
        <w:pStyle w:val="15"/>
        <w:spacing w:after="119" w:afterLines="0" w:afterAutospacing="0" w:line="340" w:lineRule="exact"/>
        <w:ind w:firstLine="210" w:firstLineChars="100"/>
        <w:rPr>
          <w:rFonts w:hint="eastAsia"/>
          <w:sz w:val="21"/>
        </w:rPr>
      </w:pPr>
      <w:r>
        <w:rPr>
          <w:rFonts w:hint="eastAsia"/>
          <w:sz w:val="21"/>
        </w:rPr>
        <w:t>⑰毛呂山・越生・鳩山公共下水道組合（比例連結）</w:t>
      </w:r>
    </w:p>
    <w:p>
      <w:pPr>
        <w:pStyle w:val="15"/>
        <w:spacing w:line="340" w:lineRule="exact"/>
        <w:rPr>
          <w:rFonts w:hint="default"/>
          <w:sz w:val="21"/>
        </w:rPr>
      </w:pPr>
    </w:p>
    <w:p>
      <w:pPr>
        <w:pStyle w:val="15"/>
        <w:spacing w:line="340" w:lineRule="exact"/>
        <w:rPr>
          <w:rFonts w:hint="default"/>
          <w:sz w:val="21"/>
        </w:rPr>
      </w:pPr>
      <w:r>
        <w:rPr>
          <w:rFonts w:hint="eastAsia"/>
          <w:sz w:val="21"/>
        </w:rPr>
        <w:t>（２）</w:t>
      </w:r>
      <w:r>
        <w:rPr>
          <w:rFonts w:hint="default"/>
          <w:sz w:val="21"/>
        </w:rPr>
        <w:t xml:space="preserve"> </w:t>
      </w:r>
      <w:r>
        <w:rPr>
          <w:rFonts w:hint="eastAsia"/>
          <w:sz w:val="21"/>
        </w:rPr>
        <w:t>一般会計等と普通会計の対象範囲等の差異</w:t>
      </w:r>
    </w:p>
    <w:p>
      <w:pPr>
        <w:pStyle w:val="15"/>
        <w:spacing w:line="340" w:lineRule="exact"/>
        <w:ind w:firstLine="210" w:firstLineChars="100"/>
        <w:rPr>
          <w:rFonts w:hint="default"/>
          <w:sz w:val="21"/>
        </w:rPr>
      </w:pPr>
      <w:r>
        <w:rPr>
          <w:rFonts w:hint="eastAsia"/>
          <w:sz w:val="21"/>
        </w:rPr>
        <w:t>特になし</w:t>
      </w:r>
    </w:p>
    <w:p>
      <w:pPr>
        <w:pStyle w:val="15"/>
        <w:spacing w:line="340" w:lineRule="exact"/>
        <w:rPr>
          <w:rFonts w:hint="default"/>
          <w:sz w:val="21"/>
        </w:rPr>
      </w:pPr>
    </w:p>
    <w:p>
      <w:pPr>
        <w:pStyle w:val="15"/>
        <w:spacing w:line="340" w:lineRule="exact"/>
        <w:rPr>
          <w:rFonts w:hint="default"/>
          <w:sz w:val="21"/>
        </w:rPr>
      </w:pPr>
      <w:r>
        <w:rPr>
          <w:rFonts w:hint="eastAsia"/>
          <w:sz w:val="21"/>
        </w:rPr>
        <w:t>（３）</w:t>
      </w:r>
      <w:r>
        <w:rPr>
          <w:rFonts w:hint="default"/>
          <w:sz w:val="21"/>
        </w:rPr>
        <w:t xml:space="preserve"> </w:t>
      </w:r>
      <w:r>
        <w:rPr>
          <w:rFonts w:hint="eastAsia"/>
          <w:sz w:val="21"/>
        </w:rPr>
        <w:t>出納整理期間</w:t>
      </w:r>
    </w:p>
    <w:p>
      <w:pPr>
        <w:pStyle w:val="15"/>
        <w:spacing w:line="340" w:lineRule="exact"/>
        <w:ind w:firstLine="210" w:firstLineChars="100"/>
        <w:rPr>
          <w:rFonts w:hint="default"/>
          <w:sz w:val="21"/>
        </w:rPr>
      </w:pPr>
      <w:r>
        <w:rPr>
          <w:rFonts w:hint="eastAsia"/>
          <w:sz w:val="21"/>
        </w:rPr>
        <w:t>財務書類の作成基準日は、会計年度末（</w:t>
      </w:r>
      <w:r>
        <w:rPr>
          <w:rFonts w:hint="default" w:ascii="Century" w:hAnsi="Century"/>
          <w:sz w:val="21"/>
        </w:rPr>
        <w:t>3</w:t>
      </w:r>
      <w:r>
        <w:rPr>
          <w:rFonts w:hint="eastAsia"/>
          <w:sz w:val="21"/>
        </w:rPr>
        <w:t>月</w:t>
      </w:r>
      <w:r>
        <w:rPr>
          <w:rFonts w:hint="default" w:ascii="Century" w:hAnsi="Century"/>
          <w:sz w:val="21"/>
        </w:rPr>
        <w:t>31</w:t>
      </w:r>
      <w:r>
        <w:rPr>
          <w:rFonts w:hint="eastAsia"/>
          <w:sz w:val="21"/>
        </w:rPr>
        <w:t>日）ですが、出納整理期間中の現金の受払い等を終了した後の計数をもって会計年度末の計数としております。（地方自治法</w:t>
      </w:r>
      <w:r>
        <w:rPr>
          <w:rFonts w:hint="default" w:ascii="Century" w:hAnsi="Century"/>
          <w:sz w:val="21"/>
        </w:rPr>
        <w:t xml:space="preserve">235 </w:t>
      </w:r>
      <w:r>
        <w:rPr>
          <w:rFonts w:hint="eastAsia"/>
          <w:sz w:val="21"/>
        </w:rPr>
        <w:t>条の</w:t>
      </w:r>
      <w:r>
        <w:rPr>
          <w:rFonts w:hint="default" w:ascii="Century" w:hAnsi="Century"/>
          <w:sz w:val="21"/>
        </w:rPr>
        <w:t>5</w:t>
      </w:r>
      <w:r>
        <w:rPr>
          <w:rFonts w:hint="eastAsia"/>
          <w:sz w:val="21"/>
        </w:rPr>
        <w:t>「普通地方公共団体の出納は、翌年度の</w:t>
      </w:r>
      <w:r>
        <w:rPr>
          <w:rFonts w:hint="default" w:ascii="Century" w:hAnsi="Century"/>
          <w:sz w:val="21"/>
        </w:rPr>
        <w:t>5</w:t>
      </w:r>
      <w:r>
        <w:rPr>
          <w:rFonts w:hint="eastAsia"/>
          <w:sz w:val="21"/>
        </w:rPr>
        <w:t>月</w:t>
      </w:r>
      <w:r>
        <w:rPr>
          <w:rFonts w:hint="default" w:ascii="Century" w:hAnsi="Century"/>
          <w:sz w:val="21"/>
        </w:rPr>
        <w:t>31</w:t>
      </w:r>
      <w:r>
        <w:rPr>
          <w:rFonts w:hint="eastAsia"/>
          <w:sz w:val="21"/>
        </w:rPr>
        <w:t>日をもって閉鎖する。」）</w:t>
      </w:r>
    </w:p>
    <w:p>
      <w:pPr>
        <w:pStyle w:val="15"/>
        <w:spacing w:line="340" w:lineRule="exact"/>
        <w:rPr>
          <w:rFonts w:hint="default"/>
          <w:sz w:val="21"/>
        </w:rPr>
      </w:pPr>
    </w:p>
    <w:p>
      <w:pPr>
        <w:pStyle w:val="15"/>
        <w:spacing w:line="340" w:lineRule="exact"/>
        <w:rPr>
          <w:rFonts w:hint="default"/>
          <w:sz w:val="21"/>
        </w:rPr>
      </w:pPr>
      <w:r>
        <w:rPr>
          <w:rFonts w:hint="eastAsia"/>
          <w:sz w:val="21"/>
        </w:rPr>
        <w:t>（４）</w:t>
      </w:r>
      <w:r>
        <w:rPr>
          <w:rFonts w:hint="default"/>
          <w:sz w:val="21"/>
        </w:rPr>
        <w:t xml:space="preserve"> </w:t>
      </w:r>
      <w:r>
        <w:rPr>
          <w:rFonts w:hint="eastAsia"/>
          <w:sz w:val="21"/>
        </w:rPr>
        <w:t>表示単位未満</w:t>
      </w:r>
    </w:p>
    <w:p>
      <w:pPr>
        <w:pStyle w:val="15"/>
        <w:spacing w:line="340" w:lineRule="exact"/>
        <w:ind w:firstLine="210" w:firstLineChars="100"/>
        <w:rPr>
          <w:rFonts w:hint="default"/>
          <w:sz w:val="21"/>
        </w:rPr>
      </w:pPr>
      <w:r>
        <w:rPr>
          <w:rFonts w:hint="eastAsia"/>
          <w:sz w:val="21"/>
        </w:rPr>
        <w:t>表示単位未満の金額は四捨五入とし、一部合計値と不一致があります。</w:t>
      </w:r>
    </w:p>
    <w:p>
      <w:pPr>
        <w:pStyle w:val="0"/>
        <w:spacing w:line="340" w:lineRule="exact"/>
        <w:rPr>
          <w:rFonts w:hint="default"/>
        </w:rPr>
      </w:pPr>
    </w:p>
    <w:p>
      <w:pPr>
        <w:pStyle w:val="15"/>
        <w:spacing w:line="340" w:lineRule="exact"/>
        <w:rPr>
          <w:rFonts w:hint="default"/>
          <w:sz w:val="21"/>
        </w:rPr>
      </w:pPr>
      <w:r>
        <w:rPr>
          <w:rFonts w:hint="eastAsia"/>
          <w:sz w:val="21"/>
        </w:rPr>
        <w:t>（５）売却可能資産に係る資産科目別の金額及びその範囲</w:t>
      </w:r>
    </w:p>
    <w:p>
      <w:pPr>
        <w:pStyle w:val="15"/>
        <w:spacing w:line="340" w:lineRule="exact"/>
        <w:ind w:firstLine="210" w:firstLineChars="100"/>
        <w:rPr>
          <w:rFonts w:hint="default"/>
          <w:sz w:val="21"/>
        </w:rPr>
      </w:pPr>
      <w:r>
        <w:rPr>
          <w:rFonts w:hint="eastAsia"/>
          <w:sz w:val="21"/>
        </w:rPr>
        <w:t>なし</w:t>
      </w:r>
    </w:p>
    <w:p>
      <w:pPr>
        <w:pStyle w:val="15"/>
        <w:spacing w:line="340" w:lineRule="exact"/>
        <w:rPr>
          <w:rFonts w:hint="default"/>
          <w:sz w:val="21"/>
        </w:rPr>
      </w:pPr>
    </w:p>
    <w:p>
      <w:pPr>
        <w:pStyle w:val="15"/>
        <w:spacing w:line="340" w:lineRule="exact"/>
        <w:rPr>
          <w:rFonts w:hint="default"/>
          <w:sz w:val="21"/>
        </w:rPr>
      </w:pPr>
      <w:r>
        <w:rPr>
          <w:rFonts w:hint="eastAsia"/>
          <w:sz w:val="21"/>
        </w:rPr>
        <w:t>（６）減債基金に係る積立不足の有無及び不足額</w:t>
      </w:r>
    </w:p>
    <w:p>
      <w:pPr>
        <w:pStyle w:val="15"/>
        <w:spacing w:line="340" w:lineRule="exact"/>
        <w:ind w:firstLine="210" w:firstLineChars="100"/>
        <w:rPr>
          <w:rFonts w:hint="default"/>
          <w:sz w:val="21"/>
        </w:rPr>
      </w:pPr>
      <w:r>
        <w:rPr>
          <w:rFonts w:hint="eastAsia"/>
          <w:sz w:val="21"/>
        </w:rPr>
        <w:t>なし</w:t>
      </w:r>
    </w:p>
    <w:p>
      <w:pPr>
        <w:pStyle w:val="0"/>
        <w:spacing w:line="340" w:lineRule="exact"/>
        <w:rPr>
          <w:rFonts w:hint="default" w:ascii="Century" w:hAnsi="Century"/>
        </w:rPr>
      </w:pPr>
    </w:p>
    <w:p>
      <w:pPr>
        <w:pStyle w:val="15"/>
        <w:spacing w:line="340" w:lineRule="exact"/>
        <w:rPr>
          <w:rFonts w:hint="default"/>
          <w:sz w:val="21"/>
        </w:rPr>
      </w:pPr>
      <w:r>
        <w:rPr>
          <w:rFonts w:hint="eastAsia"/>
          <w:sz w:val="21"/>
        </w:rPr>
        <w:t>（７）自治法第２３４条の３に基づく長期継続契約で貸借対照表に計上されたリース</w:t>
      </w:r>
    </w:p>
    <w:p>
      <w:pPr>
        <w:pStyle w:val="0"/>
        <w:spacing w:line="340" w:lineRule="exact"/>
        <w:ind w:firstLine="420" w:firstLineChars="200"/>
        <w:rPr>
          <w:rFonts w:hint="default"/>
        </w:rPr>
      </w:pPr>
      <w:r>
        <w:rPr>
          <w:rFonts w:hint="eastAsia"/>
        </w:rPr>
        <w:t>債務金額　なし</w:t>
      </w:r>
    </w:p>
    <w:p>
      <w:pPr>
        <w:pStyle w:val="0"/>
        <w:spacing w:line="340" w:lineRule="exact"/>
        <w:rPr>
          <w:rFonts w:hint="default"/>
        </w:rPr>
      </w:pPr>
    </w:p>
    <w:p>
      <w:pPr>
        <w:pStyle w:val="0"/>
        <w:spacing w:line="340" w:lineRule="exact"/>
        <w:rPr>
          <w:rFonts w:hint="default"/>
        </w:rPr>
      </w:pPr>
    </w:p>
    <w:p>
      <w:pPr>
        <w:pStyle w:val="0"/>
        <w:spacing w:line="340" w:lineRule="exac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11</Pages>
  <Words>38</Words>
  <Characters>5285</Characters>
  <Application>JUST Note</Application>
  <Lines>348</Lines>
  <Paragraphs>219</Paragraphs>
  <CharactersWithSpaces>5357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虎井 僚平</cp:lastModifiedBy>
  <dcterms:modified xsi:type="dcterms:W3CDTF">2025-04-25T01:38:56Z</dcterms:modified>
  <cp:revision>0</cp:revision>
</cp:coreProperties>
</file>